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7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ЗУПИНКА БІЗНЕС ПРОЦЕСІВ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Іноді виникає ситуація, що запущений бізнес-процес вже не є актуальним, але просто видалення його не зупинить. Для цього створена ця інструкція, щоб бізнес-процес можна було зупинити.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Заходимо у строку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Автоматизация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 лівому стовпці сайту: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527219" cy="304566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219" cy="304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Зверху вибираємо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Бизнес-Процессы - Процессы в ленте новостей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624013" cy="213470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13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переліку усіх бізнес-процесів вибираємо потрібний нам, натиснувши на його назву (Наприклад: НФ на увольнении сотрудника)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2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переліку вибираємо потрібний нам бізнес-процес. Знайти його можна як по даті звільнена, так і по даті створення, назві, чи інших даним: 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45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новому вікні переходимо на Бизнес-Процессы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Зупиняємо усі доступні воля з Активними Бізнес-Процесами кнопкою Остановить та зберігаємо наші дії: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1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