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7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ДОБАВЛЕНИЕ СКЛАДА В БАЗАХ 1С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Часто возникает ситуация, что для логиста нужно создать дополнительный склад\станцию в 1С. Для этого открываем нужную нам Базу 1С и вверху находим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Предприятие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53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пункт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Справочники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978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Склады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748088" cy="316283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16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 открывшемся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Создать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673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Вводим необходимое нам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Наименование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(это обязательный пункт)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Адрес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(по-надобности)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заполнения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Записать и закрыть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Следующим этапом у нас переход на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Администрирование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76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пункт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Доступные склады перемещение (Петабайт)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88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Создать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10063" cy="7711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77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появившемся окне выбираем три точки, как показано на скриншоте и выбираем нам нужный (созданный, как описано выше) склад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91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нажатия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Выбрать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Записать и закрыть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