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СМЕНА ВРЕМЕНИ АВТОПОСТАНОВКИ СИГНАЛИЗАЦИИ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Установка часов.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Контрольная панель имеет встроенные часы реального времени. Все события запоминаются в памяти с временем и датой. Время задает установщик, но администратор может устанавливать часы в режиме пользователя.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входа в режим установщика введите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 0 мастер код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Режим индицируется символом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пульте. Для установки часов введите: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4   hh mm DD MM YY 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где: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часы;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минуты;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день;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месяц и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год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Пример: в 21:30 19 Марта. 2021 года введите: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4   21 30 19 03 21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выхода из режима пользователя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нажмите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Автоматическая постановка/снятие.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Система может автоматически вставать на охрану и сниматься с охраны в заданное время. В режиме пользователя можно ввести до 10 команд для одного дня.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входа в режим пользователя введите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 0 мастер код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Режим индицируется символом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пульте.  Для программирования действий: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64 n a hh mm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где: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номер команды от 0 до 9;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действие (см. таблицу);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часы (от 00 до 23);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минуты (от 00 до 59)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162300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Для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выхода из режима пользователя,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нажмите кнопку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