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84"/>
        </w:tabs>
        <w:spacing w:after="0" w:line="276" w:lineRule="auto"/>
        <w:rPr>
          <w:rFonts w:ascii="Cambria" w:cs="Cambria" w:eastAsia="Cambria" w:hAnsi="Cambria"/>
          <w:sz w:val="24"/>
          <w:szCs w:val="24"/>
        </w:rPr>
      </w:pPr>
      <w:r w:rsidDel="00000000" w:rsidR="00000000" w:rsidRPr="00000000">
        <w:rPr>
          <w:rFonts w:ascii="Arial" w:cs="Arial" w:eastAsia="Arial" w:hAnsi="Arial"/>
        </w:rPr>
        <w:drawing>
          <wp:inline distB="0" distT="0" distL="0" distR="0">
            <wp:extent cx="5318125" cy="1000125"/>
            <wp:effectExtent b="0" l="0" r="0" 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284"/>
        </w:tabs>
        <w:spacing w:after="0"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tabs>
          <w:tab w:val="left" w:leader="none" w:pos="284"/>
        </w:tabs>
        <w:spacing w:after="0" w:line="276" w:lineRule="auto"/>
        <w:jc w:val="center"/>
        <w:rPr>
          <w:rFonts w:ascii="Cambria" w:cs="Cambria" w:eastAsia="Cambria" w:hAnsi="Cambria"/>
        </w:rPr>
      </w:pPr>
      <w:r w:rsidDel="00000000" w:rsidR="00000000" w:rsidRPr="00000000">
        <w:rPr>
          <w:rFonts w:ascii="Cambria" w:cs="Cambria" w:eastAsia="Cambria" w:hAnsi="Cambria"/>
          <w:b w:val="1"/>
          <w:sz w:val="36"/>
          <w:szCs w:val="36"/>
          <w:rtl w:val="0"/>
        </w:rPr>
        <w:t xml:space="preserve">СТАТИСТИКИ ПОСТА</w:t>
      </w:r>
      <w:r w:rsidDel="00000000" w:rsidR="00000000" w:rsidRPr="00000000">
        <w:rPr>
          <w:rtl w:val="0"/>
        </w:rPr>
      </w:r>
    </w:p>
    <w:p w:rsidR="00000000" w:rsidDel="00000000" w:rsidP="00000000" w:rsidRDefault="00000000" w:rsidRPr="00000000" w14:paraId="00000004">
      <w:pPr>
        <w:tabs>
          <w:tab w:val="left" w:leader="none" w:pos="284"/>
        </w:tabs>
        <w:spacing w:after="0" w:line="276"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5">
      <w:pPr>
        <w:tabs>
          <w:tab w:val="left" w:leader="none" w:pos="284"/>
        </w:tabs>
        <w:spacing w:after="0" w:line="276" w:lineRule="auto"/>
        <w:jc w:val="center"/>
        <w:rPr>
          <w:rFonts w:ascii="Cambria" w:cs="Cambria" w:eastAsia="Cambria" w:hAnsi="Cambria"/>
          <w:b w:val="1"/>
        </w:rPr>
      </w:pPr>
      <w:hyperlink r:id="rId7">
        <w:r w:rsidDel="00000000" w:rsidR="00000000" w:rsidRPr="00000000">
          <w:rPr>
            <w:color w:val="0000ee"/>
            <w:u w:val="single"/>
            <w:shd w:fill="auto" w:val="clear"/>
            <w:rtl w:val="0"/>
          </w:rPr>
          <w:t xml:space="preserve">Статистики Специалиста по договорной работе УК</w:t>
        </w:r>
      </w:hyperlink>
      <w:r w:rsidDel="00000000" w:rsidR="00000000" w:rsidRPr="00000000">
        <w:rPr>
          <w:rtl w:val="0"/>
        </w:rPr>
      </w:r>
    </w:p>
    <w:p w:rsidR="00000000" w:rsidDel="00000000" w:rsidP="00000000" w:rsidRDefault="00000000" w:rsidRPr="00000000" w14:paraId="00000006">
      <w:pPr>
        <w:tabs>
          <w:tab w:val="left" w:leader="none" w:pos="284"/>
        </w:tabs>
        <w:spacing w:after="0" w:line="276"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7">
      <w:pPr>
        <w:tabs>
          <w:tab w:val="left" w:leader="none" w:pos="284"/>
        </w:tabs>
        <w:spacing w:after="0" w:before="240"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Дана статистика рахується по перевірочним спискам (Додаток 1 та Додаток 2)</w:t>
      </w:r>
    </w:p>
    <w:p w:rsidR="00000000" w:rsidDel="00000000" w:rsidP="00000000" w:rsidRDefault="00000000" w:rsidRPr="00000000" w14:paraId="00000008">
      <w:pPr>
        <w:tabs>
          <w:tab w:val="left" w:leader="none" w:pos="284"/>
        </w:tabs>
        <w:spacing w:after="0" w:before="240"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9">
      <w:pPr>
        <w:tabs>
          <w:tab w:val="left" w:leader="none" w:pos="284"/>
        </w:tabs>
        <w:spacing w:after="0" w:before="240" w:line="276"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Спеціаліст по договірній роботі веде окремо статистики по:</w:t>
      </w:r>
    </w:p>
    <w:p w:rsidR="00000000" w:rsidDel="00000000" w:rsidP="00000000" w:rsidRDefault="00000000" w:rsidRPr="00000000" w14:paraId="0000000A">
      <w:pPr>
        <w:numPr>
          <w:ilvl w:val="0"/>
          <w:numId w:val="1"/>
        </w:numPr>
        <w:tabs>
          <w:tab w:val="left" w:leader="none" w:pos="284"/>
        </w:tabs>
        <w:spacing w:after="0" w:line="276" w:lineRule="auto"/>
        <w:ind w:left="1440" w:hanging="360"/>
        <w:jc w:val="both"/>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направленню Біг Беги - звітний період з понеділка по неділю</w:t>
      </w:r>
    </w:p>
    <w:p w:rsidR="00000000" w:rsidDel="00000000" w:rsidP="00000000" w:rsidRDefault="00000000" w:rsidRPr="00000000" w14:paraId="0000000B">
      <w:pPr>
        <w:numPr>
          <w:ilvl w:val="0"/>
          <w:numId w:val="1"/>
        </w:numPr>
        <w:tabs>
          <w:tab w:val="left" w:leader="none" w:pos="284"/>
        </w:tabs>
        <w:spacing w:after="0" w:line="276" w:lineRule="auto"/>
        <w:ind w:left="1440" w:hanging="360"/>
        <w:jc w:val="both"/>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направленню Вапняк - звітний період з вівторка по понеділок</w:t>
      </w:r>
    </w:p>
    <w:p w:rsidR="00000000" w:rsidDel="00000000" w:rsidP="00000000" w:rsidRDefault="00000000" w:rsidRPr="00000000" w14:paraId="0000000C">
      <w:pPr>
        <w:tabs>
          <w:tab w:val="left" w:leader="none" w:pos="284"/>
        </w:tabs>
        <w:spacing w:after="0" w:line="276" w:lineRule="auto"/>
        <w:ind w:left="1080" w:hanging="36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D">
      <w:pPr>
        <w:tabs>
          <w:tab w:val="left" w:leader="none" w:pos="284"/>
        </w:tabs>
        <w:spacing w:after="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E">
      <w:pPr>
        <w:tabs>
          <w:tab w:val="left" w:leader="none" w:pos="284"/>
        </w:tabs>
        <w:spacing w:after="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F">
      <w:pPr>
        <w:tabs>
          <w:tab w:val="left" w:leader="none" w:pos="284"/>
        </w:tabs>
        <w:spacing w:after="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0">
      <w:pPr>
        <w:tabs>
          <w:tab w:val="left" w:leader="none" w:pos="284"/>
        </w:tabs>
        <w:spacing w:after="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1">
      <w:pPr>
        <w:tabs>
          <w:tab w:val="left" w:leader="none" w:pos="284"/>
        </w:tabs>
        <w:spacing w:after="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2">
      <w:pPr>
        <w:tabs>
          <w:tab w:val="left" w:leader="none" w:pos="284"/>
        </w:tabs>
        <w:spacing w:after="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3">
      <w:pPr>
        <w:tabs>
          <w:tab w:val="left" w:leader="none" w:pos="284"/>
        </w:tabs>
        <w:spacing w:after="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4">
      <w:pPr>
        <w:tabs>
          <w:tab w:val="left" w:leader="none" w:pos="284"/>
        </w:tabs>
        <w:spacing w:after="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5">
      <w:pPr>
        <w:tabs>
          <w:tab w:val="left" w:leader="none" w:pos="284"/>
        </w:tabs>
        <w:spacing w:after="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6">
      <w:pPr>
        <w:tabs>
          <w:tab w:val="left" w:leader="none" w:pos="284"/>
        </w:tabs>
        <w:spacing w:after="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7">
      <w:pPr>
        <w:tabs>
          <w:tab w:val="left" w:leader="none" w:pos="284"/>
        </w:tabs>
        <w:spacing w:after="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8">
      <w:pPr>
        <w:tabs>
          <w:tab w:val="left" w:leader="none" w:pos="284"/>
        </w:tabs>
        <w:spacing w:after="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9">
      <w:pPr>
        <w:tabs>
          <w:tab w:val="left" w:leader="none" w:pos="284"/>
        </w:tabs>
        <w:spacing w:after="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A">
      <w:pPr>
        <w:tabs>
          <w:tab w:val="left" w:leader="none" w:pos="284"/>
        </w:tabs>
        <w:spacing w:after="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B">
      <w:pPr>
        <w:tabs>
          <w:tab w:val="left" w:leader="none" w:pos="284"/>
        </w:tabs>
        <w:spacing w:after="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C">
      <w:pPr>
        <w:tabs>
          <w:tab w:val="left" w:leader="none" w:pos="284"/>
        </w:tabs>
        <w:spacing w:after="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D">
      <w:pPr>
        <w:tabs>
          <w:tab w:val="left" w:leader="none" w:pos="284"/>
        </w:tabs>
        <w:spacing w:after="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E">
      <w:pPr>
        <w:tabs>
          <w:tab w:val="left" w:leader="none" w:pos="284"/>
        </w:tabs>
        <w:spacing w:after="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F">
      <w:pPr>
        <w:tabs>
          <w:tab w:val="left" w:leader="none" w:pos="284"/>
        </w:tabs>
        <w:spacing w:after="0" w:line="276" w:lineRule="auto"/>
        <w:jc w:val="righ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Додаток 1</w:t>
      </w:r>
    </w:p>
    <w:p w:rsidR="00000000" w:rsidDel="00000000" w:rsidP="00000000" w:rsidRDefault="00000000" w:rsidRPr="00000000" w14:paraId="00000020">
      <w:pPr>
        <w:tabs>
          <w:tab w:val="left" w:leader="none" w:pos="284"/>
        </w:tabs>
        <w:spacing w:after="0" w:line="276" w:lineRule="auto"/>
        <w:jc w:val="right"/>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21">
      <w:pPr>
        <w:tabs>
          <w:tab w:val="left" w:leader="none" w:pos="284"/>
        </w:tabs>
        <w:spacing w:after="0" w:before="200" w:line="276" w:lineRule="auto"/>
        <w:ind w:right="10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9"/>
          <w:szCs w:val="29"/>
          <w:highlight w:val="white"/>
          <w:rtl w:val="0"/>
        </w:rPr>
        <w:t xml:space="preserve">ПЕРЕВІРОЧНИЙ СПИСОК БЕГИ</w:t>
      </w:r>
      <w:r w:rsidDel="00000000" w:rsidR="00000000" w:rsidRPr="00000000">
        <w:rPr>
          <w:rtl w:val="0"/>
        </w:rPr>
      </w:r>
    </w:p>
    <w:p w:rsidR="00000000" w:rsidDel="00000000" w:rsidP="00000000" w:rsidRDefault="00000000" w:rsidRPr="00000000" w14:paraId="00000022">
      <w:pPr>
        <w:tabs>
          <w:tab w:val="left" w:leader="none" w:pos="284"/>
        </w:tabs>
        <w:spacing w:after="0" w:before="200" w:line="276" w:lineRule="auto"/>
        <w:ind w:right="10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354.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3.1327824304649"/>
        <w:gridCol w:w="4715.8198529070805"/>
        <w:gridCol w:w="980.626090908248"/>
        <w:gridCol w:w="991.6443615926103"/>
        <w:gridCol w:w="991.6443615926103"/>
        <w:gridCol w:w="991.6443615926103"/>
        <w:tblGridChange w:id="0">
          <w:tblGrid>
            <w:gridCol w:w="683.1327824304649"/>
            <w:gridCol w:w="4715.8198529070805"/>
            <w:gridCol w:w="980.626090908248"/>
            <w:gridCol w:w="991.6443615926103"/>
            <w:gridCol w:w="991.6443615926103"/>
            <w:gridCol w:w="991.6443615926103"/>
          </w:tblGrid>
        </w:tblGridChange>
      </w:tblGrid>
      <w:tr>
        <w:trPr>
          <w:cantSplit w:val="0"/>
          <w:trHeight w:val="86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3">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4">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Продукт</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5">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Б.</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6">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Квота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7">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Факт</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8">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План</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9">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A">
            <w:pPr>
              <w:widowControl w:val="0"/>
              <w:spacing w:after="0" w:line="276" w:lineRule="auto"/>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Відправлені всі договори клієнтам</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B">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C">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D">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E">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r>
        <w:trPr>
          <w:cantSplit w:val="0"/>
          <w:trHeight w:val="69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F">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30">
            <w:pPr>
              <w:widowControl w:val="0"/>
              <w:spacing w:after="0" w:line="276" w:lineRule="auto"/>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Відправлені всі договори постачальникам</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31">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2">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3">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r>
        <w:trPr>
          <w:cantSplit w:val="0"/>
          <w:trHeight w:val="152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35">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36">
            <w:pPr>
              <w:widowControl w:val="0"/>
              <w:spacing w:after="0" w:line="276" w:lineRule="auto"/>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В наявності всі скан-копії укладених договорів з клієнтами. В наявності всі оригінали договорів з клієнтами, яким надано відстрочку по оплаті.</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37">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50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8">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9">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A">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r>
        <w:trPr>
          <w:cantSplit w:val="0"/>
          <w:trHeight w:val="152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3B">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3C">
            <w:pPr>
              <w:widowControl w:val="0"/>
              <w:spacing w:after="0" w:line="276" w:lineRule="auto"/>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В наявності всі скан-копії укладених договорів з постачальниками.</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3D">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50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E">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F">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0">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r>
        <w:trPr>
          <w:cantSplit w:val="0"/>
          <w:trHeight w:val="84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41">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42">
            <w:pPr>
              <w:widowControl w:val="0"/>
              <w:spacing w:after="0" w:line="276" w:lineRule="auto"/>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В наявності всі договори ЦПХ з працівниками компанії.</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43">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50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4">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5">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6">
            <w:pPr>
              <w:tabs>
                <w:tab w:val="left" w:leader="none" w:pos="284"/>
              </w:tabs>
              <w:spacing w:after="240" w:before="240" w:line="276" w:lineRule="auto"/>
              <w:ind w:left="-80" w:firstLine="0"/>
              <w:jc w:val="center"/>
              <w:rPr>
                <w:rFonts w:ascii="Cambria" w:cs="Cambria" w:eastAsia="Cambria" w:hAnsi="Cambria"/>
                <w:b w:val="1"/>
                <w:sz w:val="24"/>
                <w:szCs w:val="24"/>
                <w:highlight w:val="red"/>
              </w:rPr>
            </w:pPr>
            <w:r w:rsidDel="00000000" w:rsidR="00000000" w:rsidRPr="00000000">
              <w:rPr>
                <w:rFonts w:ascii="Cambria" w:cs="Cambria" w:eastAsia="Cambria" w:hAnsi="Cambria"/>
                <w:b w:val="1"/>
                <w:sz w:val="24"/>
                <w:szCs w:val="24"/>
                <w:highlight w:val="red"/>
                <w:rtl w:val="0"/>
              </w:rPr>
              <w:t xml:space="preserve"> </w:t>
            </w:r>
          </w:p>
        </w:tc>
      </w:tr>
      <w:tr>
        <w:trPr>
          <w:cantSplit w:val="0"/>
          <w:trHeight w:val="285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47">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48">
            <w:pPr>
              <w:widowControl w:val="0"/>
              <w:spacing w:after="0" w:line="276" w:lineRule="auto"/>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За затримку в обробці вхідної кореспонденції на протязі 2-х тижнів з моменту отримання кореспонденції, знімається 20 балів (затримка в обробці вхідної кореспонденції може привести до затримки внесення важливого договору в 1С та реєстри, а також до пропуску важливих строків в процесі розгляду судових спорів)</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49">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A">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B">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C">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r>
        <w:trPr>
          <w:cantSplit w:val="0"/>
          <w:trHeight w:val="69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4D">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4E">
            <w:pPr>
              <w:widowControl w:val="0"/>
              <w:spacing w:after="0" w:line="276" w:lineRule="auto"/>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Актуальні дані в реєстрі по договорам з клієнтами</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4F">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1">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r>
        <w:trPr>
          <w:cantSplit w:val="0"/>
          <w:trHeight w:val="96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53">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54">
            <w:pPr>
              <w:widowControl w:val="0"/>
              <w:spacing w:after="0" w:line="276" w:lineRule="auto"/>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Актуальні дані по договорам з постачальниками</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55">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r>
        <w:trPr>
          <w:cantSplit w:val="0"/>
          <w:trHeight w:val="96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59">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5A">
            <w:pPr>
              <w:widowControl w:val="0"/>
              <w:spacing w:after="0" w:line="276" w:lineRule="auto"/>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Актуальні дані в реєстрі по договорам ЦПХ з працівниками компанії</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5B">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tabs>
                <w:tab w:val="left" w:leader="none" w:pos="284"/>
              </w:tabs>
              <w:spacing w:after="240" w:before="240" w:line="276" w:lineRule="auto"/>
              <w:ind w:left="-80" w:firstLine="0"/>
              <w:jc w:val="center"/>
              <w:rPr>
                <w:rFonts w:ascii="Cambria" w:cs="Cambria" w:eastAsia="Cambria" w:hAnsi="Cambria"/>
                <w:b w:val="1"/>
                <w:sz w:val="24"/>
                <w:szCs w:val="24"/>
                <w:highlight w:val="red"/>
              </w:rPr>
            </w:pPr>
            <w:r w:rsidDel="00000000" w:rsidR="00000000" w:rsidRPr="00000000">
              <w:rPr>
                <w:rFonts w:ascii="Cambria" w:cs="Cambria" w:eastAsia="Cambria" w:hAnsi="Cambria"/>
                <w:b w:val="1"/>
                <w:sz w:val="24"/>
                <w:szCs w:val="24"/>
                <w:highlight w:val="red"/>
                <w:rtl w:val="0"/>
              </w:rPr>
              <w:t xml:space="preserve"> </w:t>
            </w:r>
          </w:p>
        </w:tc>
      </w:tr>
      <w:tr>
        <w:trPr>
          <w:cantSplit w:val="0"/>
          <w:trHeight w:val="69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5F">
            <w:pPr>
              <w:widowControl w:val="0"/>
              <w:spacing w:after="0" w:line="276" w:lineRule="auto"/>
              <w:jc w:val="right"/>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60">
            <w:pPr>
              <w:widowControl w:val="0"/>
              <w:spacing w:after="0" w:line="276" w:lineRule="auto"/>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Всі договори (скан-копії або оригінали) внесені в 1С</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61">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2">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3">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4">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r>
        <w:trPr>
          <w:cantSplit w:val="0"/>
          <w:trHeight w:val="69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65">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66">
            <w:pPr>
              <w:widowControl w:val="0"/>
              <w:spacing w:after="0" w:line="276" w:lineRule="auto"/>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Складені всі необхідні дод. угоди</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67">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8">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9">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A">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r>
        <w:trPr>
          <w:cantSplit w:val="0"/>
          <w:trHeight w:val="123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6B">
            <w:pPr>
              <w:widowControl w:val="0"/>
              <w:spacing w:after="0" w:line="276" w:lineRule="auto"/>
              <w:jc w:val="right"/>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6C">
            <w:pPr>
              <w:widowControl w:val="0"/>
              <w:spacing w:after="0" w:line="276" w:lineRule="auto"/>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Складені й відправлені клієнтам всі необхідні претензії (листи-вимоги), сформовано й підготовлено перелік документів для подання позову</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6D">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150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F">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0">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r>
        <w:trPr>
          <w:cantSplit w:val="0"/>
          <w:trHeight w:val="680" w:hRule="atLeast"/>
          <w:tblHeader w:val="0"/>
        </w:trPr>
        <w:tc>
          <w:tcPr>
            <w:tcBorders>
              <w:top w:color="cccccc" w:space="0" w:sz="5" w:val="single"/>
              <w:left w:color="000000"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1">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2">
            <w:pPr>
              <w:widowControl w:val="0"/>
              <w:spacing w:after="0" w:line="276" w:lineRule="auto"/>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Всього:</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3">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450</w:t>
            </w:r>
            <w:r w:rsidDel="00000000" w:rsidR="00000000" w:rsidRPr="00000000">
              <w:rPr>
                <w:rtl w:val="0"/>
              </w:rPr>
            </w:r>
          </w:p>
        </w:tc>
        <w:tc>
          <w:tcPr>
            <w:tcBorders>
              <w:top w:color="000000" w:space="0" w:sz="0" w:val="nil"/>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5">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6">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r>
        <w:trPr>
          <w:cantSplit w:val="0"/>
          <w:trHeight w:val="1505" w:hRule="atLeast"/>
          <w:tblHeader w:val="0"/>
        </w:trPr>
        <w:tc>
          <w:tcPr>
            <w:tcBorders>
              <w:top w:color="cccccc" w:space="0" w:sz="5" w:val="single"/>
              <w:left w:color="000000"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7">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8">
            <w:pPr>
              <w:widowControl w:val="0"/>
              <w:spacing w:after="0" w:line="276" w:lineRule="auto"/>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u w:val="single"/>
                <w:rtl w:val="0"/>
              </w:rPr>
              <w:t xml:space="preserve">Додаткові завдання* (складення позовів, апеляцій, касацій, складення різних заяв в суди різних інстанцій, складення заяв, повідомлень та скарг до державних органів)</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9">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150</w:t>
            </w:r>
            <w:r w:rsidDel="00000000" w:rsidR="00000000" w:rsidRPr="00000000">
              <w:rPr>
                <w:rtl w:val="0"/>
              </w:rPr>
            </w:r>
          </w:p>
        </w:tc>
        <w:tc>
          <w:tcPr>
            <w:tcBorders>
              <w:top w:color="000000" w:space="0" w:sz="0" w:val="nil"/>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r>
        <w:trPr>
          <w:cantSplit w:val="0"/>
          <w:trHeight w:val="123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D">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E">
            <w:pPr>
              <w:widowControl w:val="0"/>
              <w:spacing w:after="0" w:line="276" w:lineRule="auto"/>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u w:val="single"/>
                <w:rtl w:val="0"/>
              </w:rPr>
              <w:t xml:space="preserve">Додаткові завдання * (складення міжнародних договорів, в тому числі й від польскої компанії з використанням законів Польщі)</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F">
            <w:pPr>
              <w:widowControl w:val="0"/>
              <w:spacing w:after="0" w:line="276" w:lineRule="auto"/>
              <w:jc w:val="center"/>
              <w:rPr>
                <w:rFonts w:ascii="Arial" w:cs="Arial" w:eastAsia="Arial" w:hAnsi="Arial"/>
                <w:b w:val="1"/>
                <w:sz w:val="20"/>
                <w:szCs w:val="20"/>
              </w:rPr>
            </w:pPr>
            <w:r w:rsidDel="00000000" w:rsidR="00000000" w:rsidRPr="00000000">
              <w:rPr>
                <w:rFonts w:ascii="Times New Roman" w:cs="Times New Roman" w:eastAsia="Times New Roman" w:hAnsi="Times New Roman"/>
                <w:b w:val="1"/>
                <w:sz w:val="24"/>
                <w:szCs w:val="24"/>
                <w:rtl w:val="0"/>
              </w:rPr>
              <w:t xml:space="preserve">10 за 1 договір</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0">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1">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2">
            <w:pPr>
              <w:tabs>
                <w:tab w:val="left" w:leader="none" w:pos="284"/>
              </w:tabs>
              <w:spacing w:after="240" w:before="240" w:line="276" w:lineRule="auto"/>
              <w:ind w:left="-8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bl>
    <w:p w:rsidR="00000000" w:rsidDel="00000000" w:rsidP="00000000" w:rsidRDefault="00000000" w:rsidRPr="00000000" w14:paraId="00000083">
      <w:pPr>
        <w:tabs>
          <w:tab w:val="left" w:leader="none" w:pos="284"/>
        </w:tabs>
        <w:spacing w:after="0" w:before="200" w:line="276" w:lineRule="auto"/>
        <w:ind w:right="100"/>
        <w:jc w:val="right"/>
        <w:rPr>
          <w:rFonts w:ascii="Cambria" w:cs="Cambria" w:eastAsia="Cambria" w:hAnsi="Cambria"/>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bl>
      <w:tblPr>
        <w:tblStyle w:val="Table2"/>
        <w:tblW w:w="9354.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3.4234712875425"/>
        <w:gridCol w:w="2470.7995440881314"/>
        <w:gridCol w:w="2222.640637913341"/>
        <w:gridCol w:w="1381.058260451008"/>
        <w:gridCol w:w="1435.0058487498754"/>
        <w:gridCol w:w="1251.5840485337258"/>
        <w:tblGridChange w:id="0">
          <w:tblGrid>
            <w:gridCol w:w="593.4234712875425"/>
            <w:gridCol w:w="2470.7995440881314"/>
            <w:gridCol w:w="2222.640637913341"/>
            <w:gridCol w:w="1381.058260451008"/>
            <w:gridCol w:w="1435.0058487498754"/>
            <w:gridCol w:w="1251.5840485337258"/>
          </w:tblGrid>
        </w:tblGridChange>
      </w:tblGrid>
      <w:tr>
        <w:trPr>
          <w:cantSplit w:val="0"/>
          <w:trHeight w:val="345" w:hRule="atLeast"/>
          <w:tblHeader w:val="0"/>
        </w:trPr>
        <w:tc>
          <w:tcPr>
            <w:gridSpan w:val="6"/>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Як рахувати статистику поста?</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gridSpan w:val="6"/>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Так як продукт поста спеціаліста по договірній роботі неможливо виміряти кількісно в одиницях накшталт: гроші, тони, штуки, і т.д., в такому випадку ми використовуємо перевірочний список.</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gridSpan w:val="6"/>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Перевірочний список – перелік певних завдань, які вимірюються в балах для оцінки роботи працівника на посту спеціаліста по договірній роботі.</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gridSpan w:val="6"/>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Загальна кількість балів – 450 балів – це і є ідеальна картина поста спеціаліста по договірній роботі. Важливо завжди прагнути до ідеальної картини.</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gridSpan w:val="6"/>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Статистика ведеться кожний тиждень. На кожний тиждень працівник виставляє собі певний план, який наближений до ідеальної картини поста. Квота рахується наступним чином, на початку звітного тижня спеціаліст по договірній роботі отримує перелік завдань по напрямку беги від надавачів завдань в бітріксі, дані завдання вносяться в БП наступного звітного періоду й відповідно до пунктів перевірочного списку підраховується квота тижня, що відповідає кількості балів перевірочного списку - 450 балів. При виконанні всіх запланованих завдань квота вважається виконаною на 100%. Якщо, наприклад, спеціалісту по договірній роботі за відповідний звітний період не ставилося завдання на складення договору, бали за таку дію всеодно зараховуються як виконані. Адже, спеціаліст по договірній роботі виконав всі поставлені на нього завдання й не від нього залежить постановка тих чи інших завдань. Даний принцип не стосується додаткових завдань.  При виконанні додаткових завдань визначених в перевірочному списку враховується відповідне перевиконання. </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gridSpan w:val="6"/>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У випадку невиконання якого-небудь пункту в перевірочному списку – вартість даного пункту не враховується в фактичні дані по статистиці за тиждень.</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gridSpan w:val="6"/>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Важливими завданнями поста спеціаліста по договірній роботі є повернення оригіналів або скан-копії договорів, які він уклав, сформовані й відправлені клієнтам претензії (листи-вимоги), обробка вхідної кореспонденції.</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1455" w:hRule="atLeast"/>
          <w:tblHeader w:val="0"/>
        </w:trPr>
        <w:tc>
          <w:tcPr>
            <w:gridSpan w:val="6"/>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*У випадку виконання додаткових завдань помічених даним знаком «*» в перевірочному списку спеціаліста по договірній роботі, по напрямку Беги, спеціаліст по договірній роботі отримує додаткові 150 балів (за складення позовів, апеляцій, касацій, складення різних заяв в суди, складення заяв, повідомлень та скарг в держ. органи), 10 балів (за кожний складений міжнародний договір, в тому числі й від польскої компанії з використанням законів Польщі).</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1170" w:hRule="atLeast"/>
          <w:tblHeader w:val="0"/>
        </w:trPr>
        <w:tc>
          <w:tcPr>
            <w:gridSpan w:val="6"/>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u w:val="single"/>
                <w:rtl w:val="0"/>
              </w:rPr>
              <w:t xml:space="preserve">Такий пункт перевірочного списку як «Відправлені клієнтам всі необхідні претензії (Листи-вимоги) вважається виконаним, якщо за звітний період було складено й відправлено клієнтам необхідна кількість претензій (листів-вимог). Якщо необхідно відправити 6 претензій і було відправлено всі 6, пункт зараховується. Якщо з 6 необхідних відправлено 5 претензій, тоді кількість балів по даному пункту перевірочного списку буде 0.</w:t>
            </w:r>
            <w:r w:rsidDel="00000000" w:rsidR="00000000" w:rsidRPr="00000000">
              <w:rPr>
                <w:rtl w:val="0"/>
              </w:rPr>
            </w:r>
          </w:p>
        </w:tc>
      </w:tr>
    </w:tbl>
    <w:p w:rsidR="00000000" w:rsidDel="00000000" w:rsidP="00000000" w:rsidRDefault="00000000" w:rsidRPr="00000000" w14:paraId="000000EA">
      <w:pPr>
        <w:tabs>
          <w:tab w:val="left" w:leader="none" w:pos="284"/>
        </w:tabs>
        <w:spacing w:after="240" w:before="240"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B">
      <w:pPr>
        <w:tabs>
          <w:tab w:val="left" w:leader="none" w:pos="284"/>
        </w:tabs>
        <w:spacing w:after="240" w:before="240"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C">
      <w:pPr>
        <w:tabs>
          <w:tab w:val="left" w:leader="none" w:pos="284"/>
        </w:tabs>
        <w:spacing w:after="240" w:before="240"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D">
      <w:pPr>
        <w:tabs>
          <w:tab w:val="left" w:leader="none" w:pos="284"/>
        </w:tabs>
        <w:spacing w:after="240" w:before="240"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E">
      <w:pPr>
        <w:tabs>
          <w:tab w:val="left" w:leader="none" w:pos="284"/>
        </w:tabs>
        <w:spacing w:after="240" w:before="240"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F">
      <w:pPr>
        <w:tabs>
          <w:tab w:val="left" w:leader="none" w:pos="284"/>
        </w:tabs>
        <w:spacing w:after="240" w:before="240"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0">
      <w:pPr>
        <w:tabs>
          <w:tab w:val="left" w:leader="none" w:pos="284"/>
        </w:tabs>
        <w:spacing w:after="240" w:before="240" w:line="276" w:lineRule="auto"/>
        <w:jc w:val="righ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Додаток 2</w:t>
      </w:r>
    </w:p>
    <w:p w:rsidR="00000000" w:rsidDel="00000000" w:rsidP="00000000" w:rsidRDefault="00000000" w:rsidRPr="00000000" w14:paraId="000000F1">
      <w:pPr>
        <w:tabs>
          <w:tab w:val="left" w:leader="none" w:pos="284"/>
        </w:tabs>
        <w:spacing w:after="0" w:line="276" w:lineRule="auto"/>
        <w:jc w:val="both"/>
        <w:rPr>
          <w:rFonts w:ascii="Cambria" w:cs="Cambria" w:eastAsia="Cambria" w:hAnsi="Cambria"/>
          <w:b w:val="1"/>
          <w:sz w:val="24"/>
          <w:szCs w:val="24"/>
        </w:rPr>
      </w:pPr>
      <w:r w:rsidDel="00000000" w:rsidR="00000000" w:rsidRPr="00000000">
        <w:rPr>
          <w:rtl w:val="0"/>
        </w:rPr>
      </w:r>
    </w:p>
    <w:tbl>
      <w:tblPr>
        <w:tblStyle w:val="Table3"/>
        <w:tblW w:w="9354.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3.4234712875425"/>
        <w:gridCol w:w="2470.7995440881314"/>
        <w:gridCol w:w="2222.640637913341"/>
        <w:gridCol w:w="1381.058260451008"/>
        <w:gridCol w:w="1435.0058487498754"/>
        <w:gridCol w:w="1251.5840485337258"/>
        <w:tblGridChange w:id="0">
          <w:tblGrid>
            <w:gridCol w:w="593.4234712875425"/>
            <w:gridCol w:w="2470.7995440881314"/>
            <w:gridCol w:w="2222.640637913341"/>
            <w:gridCol w:w="1381.058260451008"/>
            <w:gridCol w:w="1435.0058487498754"/>
            <w:gridCol w:w="1251.5840485337258"/>
          </w:tblGrid>
        </w:tblGridChange>
      </w:tblGrid>
      <w:tr>
        <w:trPr>
          <w:cantSplit w:val="0"/>
          <w:trHeight w:val="390" w:hRule="atLeast"/>
          <w:tblHeader w:val="0"/>
        </w:trPr>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tl w:val="0"/>
              </w:rPr>
            </w:r>
          </w:p>
        </w:tc>
        <w:tc>
          <w:tcPr>
            <w:gridSpan w:val="4"/>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8"/>
                <w:szCs w:val="28"/>
                <w:rtl w:val="0"/>
              </w:rPr>
              <w:t xml:space="preserve">ПЕРЕВІРОЧНИЙ СПИСОК ВАПНЯКИ</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Продукт</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Квота</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Факт</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План</w:t>
            </w:r>
            <w:r w:rsidDel="00000000" w:rsidR="00000000" w:rsidRPr="00000000">
              <w:rPr>
                <w:rtl w:val="0"/>
              </w:rPr>
            </w:r>
          </w:p>
        </w:tc>
      </w:tr>
      <w:tr>
        <w:trPr>
          <w:cantSplit w:val="0"/>
          <w:trHeight w:val="630" w:hRule="atLeast"/>
          <w:tblHeader w:val="0"/>
        </w:trPr>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Відправлені всі договори клієнтам</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3">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Відправлені всі договори постачальникам</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0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1725" w:hRule="atLeast"/>
          <w:tblHeader w:val="0"/>
        </w:trPr>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В наявності всі скан-копії укладених договорів з клієнтами. В наявності всі оригінали договорів з клієнтами, яким надано відстрочку по оплаті.</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900" w:hRule="atLeast"/>
          <w:tblHeader w:val="0"/>
        </w:trPr>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В наявності всі скан-копії укладених договорів з постачальниками.</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В наявності всі договори ЦПХ з працівниками компанії.</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05" w:hRule="atLeast"/>
          <w:tblHeader w:val="0"/>
        </w:trPr>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За затримку в обробці вхідної кореспонденції на протязі 2-х тижнів з моменту отримання кореспонденції, знімається 20 балів (затримка в обробці вхідної кореспонденції може привести до затримки внесення важливого договору в 1С та реєстри, а також до пропуску важливих строків в процесі розгляду судових спорів)</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1">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Актуальні дані в реєстрі по договорам з клієнтами</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Актуальні дані по договорам з постачальниками</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900" w:hRule="atLeast"/>
          <w:tblHeader w:val="0"/>
        </w:trPr>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Актуальні дані в реєстрі по договорам ЦПХ з працівниками компанії</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3">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4">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Всі договори (скан-копії або оригінали) внесені в 1С</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Складені всі необхідні дод. угоди</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F">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1455" w:hRule="atLeast"/>
          <w:tblHeader w:val="0"/>
        </w:trPr>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Складені й відправлені клієнтам всі необхідні претензії (листи-вимоги), сформовано й підготовлено перелік документів для подання позову</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150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1455" w:hRule="atLeast"/>
          <w:tblHeader w:val="0"/>
        </w:trPr>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Складення позовів, апеляцій, касацій, складення різних заяв в суди різних інстанцій, складення заяв, повідомлень та скарг до державних органів</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150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B">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1">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u w:val="single"/>
                <w:rtl w:val="0"/>
              </w:rPr>
              <w:t xml:space="preserve">Всього</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600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7">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58">
      <w:pPr>
        <w:tabs>
          <w:tab w:val="left" w:leader="none" w:pos="284"/>
        </w:tabs>
        <w:spacing w:after="0"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59">
      <w:pPr>
        <w:tabs>
          <w:tab w:val="left" w:leader="none" w:pos="284"/>
        </w:tabs>
        <w:spacing w:after="0" w:line="276" w:lineRule="auto"/>
        <w:jc w:val="both"/>
        <w:rPr>
          <w:rFonts w:ascii="Cambria" w:cs="Cambria" w:eastAsia="Cambria" w:hAnsi="Cambria"/>
          <w:b w:val="1"/>
          <w:sz w:val="24"/>
          <w:szCs w:val="24"/>
        </w:rPr>
      </w:pPr>
      <w:r w:rsidDel="00000000" w:rsidR="00000000" w:rsidRPr="00000000">
        <w:rPr>
          <w:rtl w:val="0"/>
        </w:rPr>
      </w:r>
    </w:p>
    <w:tbl>
      <w:tblPr>
        <w:tblStyle w:val="Table4"/>
        <w:tblW w:w="9354.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3.4234712875425"/>
        <w:gridCol w:w="2470.7995440881314"/>
        <w:gridCol w:w="2222.640637913341"/>
        <w:gridCol w:w="1381.058260451008"/>
        <w:gridCol w:w="1435.0058487498754"/>
        <w:gridCol w:w="1251.5840485337258"/>
        <w:tblGridChange w:id="0">
          <w:tblGrid>
            <w:gridCol w:w="593.4234712875425"/>
            <w:gridCol w:w="2470.7995440881314"/>
            <w:gridCol w:w="2222.640637913341"/>
            <w:gridCol w:w="1381.058260451008"/>
            <w:gridCol w:w="1435.0058487498754"/>
            <w:gridCol w:w="1251.5840485337258"/>
          </w:tblGrid>
        </w:tblGridChange>
      </w:tblGrid>
      <w:tr>
        <w:trPr>
          <w:cantSplit w:val="0"/>
          <w:trHeight w:val="345" w:hRule="atLeast"/>
          <w:tblHeader w:val="0"/>
        </w:trPr>
        <w:tc>
          <w:tcPr>
            <w:gridSpan w:val="6"/>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Як рахувати статистику поста?</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gridSpan w:val="6"/>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Так як продукт поста спеціаліста по договірній роботі неможливо виміряти кількісно в одиницях накшталт: гроші, тони, штуки, і т.д., в такому випадку ми використовуємо перевірочний список.</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gridSpan w:val="6"/>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Перевірочний список – перелік певних завдань, які вимірюються в балах для оцінки роботи працівника на посту спеціаліста по договірній роботі.</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gridSpan w:val="6"/>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Загальна кількість балів – 600 балів – це і є ідеальна картина поста спеціаліста по договірній роботі. Важливо завжди прагнути до ідеальної картини.</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gridSpan w:val="6"/>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Статистика ведеться кожний тиждень. На кожний тиждень працівник виставляє собі певний план, який наближений до ідеальної картини поста. Квота рахується наступним чином, на початку звітного тижня спеціаліст по договірній роботі отримує перелік завдань по напрямку вапняки від надавачів завдань в бітріксі, дані завдання вносяться в БП наступного звітного періоду й відповідно до пунктів перевірочного списку підраховується квота тижня, що відповідає кількості балів перевірочного списку - 600 балів. При виконанні всіх запланованих завдань квота вважається виконаною на 100%. Якщо, наприклад, спеціалісту по договірній роботі за відповідний звітний період не ставилося завдання на складення договору, бали за таку дію всеодно зараховуються як виконані.</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30" w:hRule="atLeast"/>
          <w:tblHeader w:val="0"/>
        </w:trPr>
        <w:tc>
          <w:tcPr>
            <w:gridSpan w:val="6"/>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У випадку невиконання якого-небудь пункту в перевірочному списку – вартість даного пункту не враховується в фактичні дані по статистиці за тиждень.</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900" w:hRule="atLeast"/>
          <w:tblHeader w:val="0"/>
        </w:trPr>
        <w:tc>
          <w:tcPr>
            <w:gridSpan w:val="6"/>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Важливими завданнями поста спеціаліста по договірній роботі є повернення оригіналів або скан-копії договорів, які він уклав, сформовані й відправлені клієнтам претензії (листи-вимоги), обробка вхідної кореспонденції, складення й відправка процесуальних документів (ведення судових справ компанії)</w:t>
            </w:r>
            <w:r w:rsidDel="00000000" w:rsidR="00000000" w:rsidRPr="00000000">
              <w:rPr>
                <w:rtl w:val="0"/>
              </w:rPr>
            </w:r>
          </w:p>
        </w:tc>
      </w:tr>
    </w:tbl>
    <w:p w:rsidR="00000000" w:rsidDel="00000000" w:rsidP="00000000" w:rsidRDefault="00000000" w:rsidRPr="00000000" w14:paraId="000001A8">
      <w:pPr>
        <w:widowControl w:val="0"/>
        <w:spacing w:after="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9">
      <w:pPr>
        <w:widowControl w:val="0"/>
        <w:spacing w:after="0" w:line="276" w:lineRule="auto"/>
        <w:jc w:val="center"/>
        <w:rPr>
          <w:rFonts w:ascii="Cambria" w:cs="Cambria" w:eastAsia="Cambria" w:hAnsi="Cambria"/>
          <w:b w:val="1"/>
          <w:sz w:val="24"/>
          <w:szCs w:val="24"/>
        </w:rPr>
      </w:pPr>
      <w:r w:rsidDel="00000000" w:rsidR="00000000" w:rsidRPr="00000000">
        <w:rPr>
          <w:rFonts w:ascii="Times New Roman" w:cs="Times New Roman" w:eastAsia="Times New Roman" w:hAnsi="Times New Roman"/>
          <w:b w:val="1"/>
          <w:sz w:val="24"/>
          <w:szCs w:val="24"/>
          <w:u w:val="single"/>
          <w:rtl w:val="0"/>
        </w:rPr>
        <w:t xml:space="preserve">Такий пункт перевірочного списку як «Відправлені клієнтам всі необхідні претензії (Листи-вимоги) вважається виконаним, якщо за звітний період було складено й відправлено клієнтам необхідна кількість претензій (листів-вимог). Якщо необхідно відправити 6 претензій і було відправлено всі 6, пункт зараховується. Якщо з 6 необхідних відправлено 5 претензій, тоді кількість балів по даному пункту перевірочного списку буде 0.</w:t>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spreadsheets/d/14BFyoOh3u3mKhHiarXT_qq0u0gF_FAFvVhdWYtcRN6Y/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