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5"/>
          <w:szCs w:val="35"/>
          <w:highlight w:val="white"/>
        </w:rPr>
      </w:pPr>
      <w:r w:rsidDel="00000000" w:rsidR="00000000" w:rsidRPr="00000000">
        <w:rPr>
          <w:b w:val="1"/>
          <w:sz w:val="35"/>
          <w:szCs w:val="35"/>
          <w:highlight w:val="white"/>
        </w:rPr>
        <w:drawing>
          <wp:inline distB="114300" distT="114300" distL="114300" distR="114300">
            <wp:extent cx="5731200" cy="1079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5"/>
          <w:szCs w:val="35"/>
          <w:highlight w:val="white"/>
        </w:rPr>
      </w:pPr>
      <w:r w:rsidDel="00000000" w:rsidR="00000000" w:rsidRPr="00000000">
        <w:rPr>
          <w:b w:val="1"/>
          <w:sz w:val="35"/>
          <w:szCs w:val="35"/>
          <w:highlight w:val="white"/>
          <w:rtl w:val="0"/>
        </w:rPr>
        <w:t xml:space="preserve">    </w:t>
      </w:r>
      <w:r w:rsidDel="00000000" w:rsidR="00000000" w:rsidRPr="00000000">
        <w:rPr>
          <w:b w:val="1"/>
          <w:sz w:val="35"/>
          <w:szCs w:val="35"/>
          <w:highlight w:val="white"/>
          <w:rtl w:val="0"/>
        </w:rPr>
        <w:t xml:space="preserve">Правила оформления и перечень документов для работы с импортом или экспортом по Европе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664001</wp:posOffset>
            </wp:positionV>
            <wp:extent cx="5731200" cy="8115300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1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jc w:val="center"/>
        <w:rPr>
          <w:b w:val="1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Для Импорта необходимы: Бланк ЦМР, Заявка, Договор с перевозчиком, Счёт и акт, Справка о транспортных расходах с разбивкой до границы и после пропорционально в км.</w:t>
      </w:r>
    </w:p>
    <w:p w:rsidR="00000000" w:rsidDel="00000000" w:rsidP="00000000" w:rsidRDefault="00000000" w:rsidRPr="00000000" w14:paraId="0000002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Для Экспорта необходимы: Инвойсы, упаковочный лист, тех. описание, сертификаты качества и происхождения продукции, ЦМР, Заявка, Договор с перевозчиком, Счёт и акт, контракт с клиентом (получателем), сертификат Евро-1 или СТ-1.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