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151515"/>
          <w:sz w:val="24"/>
          <w:szCs w:val="24"/>
          <w:shd w:fill="edf1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sz w:val="24"/>
          <w:szCs w:val="24"/>
          <w:shd w:fill="edf1f3" w:val="clear"/>
          <w:rtl w:val="0"/>
        </w:rPr>
        <w:t xml:space="preserve">Список действий руководителя в ситуации задержки сроков изготовления заказа либо образцов со сроками выполнения: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1. Проверить документацию и переписку о заказе и сроках поставки образцов в течении получаса от времени когда я узнал о ситуации с задержкой производства образца.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2. Связаться с менеджером 4го отделения для выяснения причин задержки после получения подтверждения о невыполнении сроков поставки образцов в течении получаса, попросить дать ответ в течении часа.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3. Сообщить руководителю 4го отделения о задержке и запросить объяснение ситуации, если в течении часа не получен ответ согласно п.2.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4. Составить план возможных вариантов решения проблемы вместе с 4м отделением, получив данные по п.3 в течении 2х часов определить действия для решения проблемы.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5. Подготовить информацию о задержке для клиента в течении получаса после получения решения согласно п.4.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6. Позвонить клиенту и предупредить о возникшей задержке с образцами, сразу после готовности информации по п.5.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7. Предложить клиенту альтернативные варианты, если возможно.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8. Выслать клиенту письмо/сообщение, что компания принимает на себя ответственность за задержку и работает над ее устранением, в течении часа после проведения общения с клиентом по п.6 и7.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51515"/>
          <w:sz w:val="21"/>
          <w:szCs w:val="21"/>
          <w:shd w:fill="edf1f3" w:val="clear"/>
        </w:rPr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9. Сразу после выполнения п.8 поставить задачу 4му отделению на устранение отклонения, следить за прогрессом работы над образцами в отделении производства.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" w:cs="Roboto" w:eastAsia="Roboto" w:hAnsi="Roboto"/>
          <w:color w:val="151515"/>
          <w:sz w:val="21"/>
          <w:szCs w:val="21"/>
          <w:shd w:fill="edf1f3" w:val="clear"/>
          <w:rtl w:val="0"/>
        </w:rPr>
        <w:t xml:space="preserve">10. Организовать дополнительное контрольное обращение к клиенту после отправки образцов. Позвонить через 2 дня после получения образца, чтобы убедиться, что они были получены и соответствуют ожиданиям.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