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Чек-лист при приёме нового сотрудника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Ф.И.О. сотрудника: </w:t>
        <w:br w:type="textWrapping"/>
        <w:t xml:space="preserve">Должность: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Дата приема: </w:t>
        <w:br w:type="textWrapping"/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17"/>
        <w:gridCol w:w="5563"/>
        <w:gridCol w:w="3191"/>
        <w:tblGridChange w:id="0">
          <w:tblGrid>
            <w:gridCol w:w="817"/>
            <w:gridCol w:w="5563"/>
            <w:gridCol w:w="319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Перечень действий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Выполнено/Не выполнено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Выдать рабочее место: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-стол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-стул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Выдать ключ-карту для входа в офисы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Выдать канц. товары: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-подставка для ручек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-ручка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-карандаш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-линейка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-ластик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-маркер красный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-маркер зеленый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-маркер черный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-степлер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-скобы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-скрепки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-корректор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-блок бумаги для записей (75*75)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-точилка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-калькулятор (при необходимости)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Выдать систему 3-корзин: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-входящие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-исходящие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-отложенные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Выдать именной лоток в ком. центре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Выдать сим-карту (при необходимости)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Подписать акт приема-передачи имущества в 2 экземплярах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