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СХЕМА ПОТОКОВ ЧАСТИЦ, ОТРАЖАЮЩАЯ, КАКИЕ ЧАСТИЦЫ ПРИХОДЯТ НА ПОСТ, КАКИЕ ИЗМЕНЕНИЯ НЕОБХОДИМО ПРОИЗВОДИТЬ С ЭТИМИ ЧАСТИЦАМИ, И КУДА ИХ ПОТОМ НАПРАВЛЯТЬ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795"/>
        <w:gridCol w:w="7380"/>
        <w:tblGridChange w:id="0">
          <w:tblGrid>
            <w:gridCol w:w="840"/>
            <w:gridCol w:w="795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Частицы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Одобренные оргполитики, приказы, распоряжения, координации, ЗРС, стратегические задачи, планы, квоты, БП, программы и проекты, заявки на вакансии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планы на день в Битриксе, БП, отчеты, доклады об исполнении с подтверждение выполненных задач, отчеты, статистики, графики, шляпы, ЗРС, программы, выполненные планы, проекты оргполитик, изменение в оргсхеме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планы на день в Битриксе, БП, отчеты, доклады об исполнении с подтверждение выполненных задач, отчеты, статистики, графики, шляпы, ЗРС, программы, выполненные планы, проекты оргполитик, изменение в оргсхеме компании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планы на день в Битриксе, БП, отчеты, доклады об исполнении с подтверждение выполненных задач, отчеты, статистики, графики, шляпы, ЗРС, программы, ФП ежемесячное и ежегодное, план/фактный анализ расходов, оборачиваемость денег, собственные оборотные средства, баланс, расчет оборотки помесячно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Приказы, распоряжение, координации, ЗРС, стратегические задачи, планы, квоты, БП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РО4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планы на день в Битриксе, БП, отчеты, доклады об исполнении с подтверждение выполненных задач, отчеты, статистики, графики, шляпы, ЗРС, программы, выполненные планы, проекты оргполитик, изменение в оргсхеме компании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Приказы, распоряжения, координации, ЗРС, стратегию развития компании, квоты, БП, программы и проекты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планы на день в Битриксе, БП, отчеты, доклады об исполнении с подтверждение выполненных задач, отчеты, статистики, графики, шляпы, ЗРС, программы, выполненные планы, проекты оргполитик, изменение в оргсхеме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ИД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РО2б (Европа)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Одобренные оргполитики, приказы, распоряжения, координации, ЗРС, стратегические задачи, планы, квоты, БП, программы и проекты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РО2б (Европа)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ИД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green"/>
                <w:rtl w:val="0"/>
              </w:rPr>
              <w:t xml:space="preserve">планы на день в Битриксе, БП, отчеты, доклады об исполнении с подтверждение выполненных задач, отчеты, статистики, графики, шляпы, ЗРС, программы, выполненные планы, проекты оргполитик, изменение в оргсхеме компании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