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314950" cy="10001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 по проведению директивы </w:t>
        <w:br w:type="textWrapping"/>
        <w:t xml:space="preserve">оборотки в 1С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23.06.23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РО3.</w:t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Согласно Регламенту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2015-06-11 Регламент по финансовому планированию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РО4 утверждает заявки на распределение оборотных средства и отправляет директиву оборотных средств на РО3 для проверки и проведения. В нашей компании существует специальный документ 1С, с помощью которого происходит распределение средств и утверждение заявок на приобретение. Рассмотрим, как проводить данную директиву.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того, чтобы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провести директиву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по оборотке необходимо: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Создаем новую директиву в 1С. Для этого выбираем пункт меню Финансовой планирование - документ  Директивы финансового планирования. 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187700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сохраненную директиву оборотных средств. В ней заказы сгруппированы по отделениям. Утвержденные 4 отделением заказы уже проставлены.</w:t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803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Необходимо Обновить данные, для загрузки остатков средств к распределению. Слева видим сумму, доступную к распределени. в нале и безнале. Посередине - сумма всех утвержденных заявок в нале и безнале. Справа остаток после распределения. .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2700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Переходим на вкладку Утверждение заказов. Рассмотрим заказы каждого отделения, согласно  статьи движения денежных средств.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второго отделения в директиву оборотных средств попадают заказы со статьей Откат из фонда Оборотных средств. Выдача откатов происходим согласно </w:t>
      </w: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РСФ, ИД, РО2, РО3, менеджер по продажам 2019-04-22 ИП Правила выплаты откатов клиентам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7272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проверки заход денег от контрагента и начисления отката необходимо открыть отчет Взаиморасчеты v7 из вкладки Продажи или Закупки.</w:t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229100"/>
            <wp:effectExtent b="0" l="0" r="0" t="0"/>
            <wp:docPr id="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ответственных менеджеров, конец периода равный текущему числу, начало периода - за несколько недель до текущей даты, чтобы увидеть движения по контрагенту. Другие отборы отключаем.</w:t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9845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Сформировать. Находим нашего контрагента - в данном случае Пак-Проф. Все взаиморасчеты по откатам проводятся на контрагенту с приставной 1. Как в примере - Пак-Профф 1 - это откат, Пак-Профф - это взаиморасчеты по заказам.</w:t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308100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Проверяем, чтобы по взаиморасчетам по заказам была оплата за заказ по которому выдается откат, а по взаиморасчетам по откатам - начислен откат. В случае, когда заходит предоплата до пошива заказа, откат может быть еще не начислен (как в примере выше, начислено только 12000 из 42000). В этом случае действуем согласно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Инструкция КОНТРОЛЬ УЧЕТА ОТКАТОВ ПО ПРЕДОПЛАТАМ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третьего отделения в директиву оборотных средств попадают заказы со статьей Зарплата работников производства из фонда Зарплата работников производства. </w:t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3462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Зарплата работников производства проводится из соотвертсвующего фонда, и  утверждая эту сумму сумма распределения не меняеися. Поэтому в директве невозможно увидеть, хватает ли денег на фонда Зарплата работников производства для выплаты ил нет. </w:t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721100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проверки необходимо открыть отчет Незакрытые движения денежных средств из вкладки Финансовое планирование. Выбрать дату - текущую даты и сформировать отчет. Остаток на фонде Зарплата работников производства должен быть больше суммы заказов по Зарплата работников производства в нале и безнале соответственно.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четвертого отделения в директиву оборотных средств попадают заказы со статьей Оплата поставщикам из фонда Оборотных средств. </w:t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2700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Необходимо проверить задолженности у поставщиков, чтобы они соответствовали условиям работы с поставщиком - если есть отсрочка, не платим ли раньше времени. Если это предоплата, то нет ли сделанной ранее предоплаты, срок поставки по которой уже прошел. Сумму задолженности видно в самой директиве, в столбце Долг контрагента. Для более детального анализа используем все тот же отчет  Взаиморасчеты v7 из вкладки Продажи или Закупки.</w:t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контрагента,  конец периода - текущую дату, начало периода - несколько недель, чтобы увидеть обороты. Другие отборы не ставим. Нажимаем Сформировать. </w:t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6830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Мы видим, что по данному контрагенту есть задолженность, но оплаты была сделана недавно и еще не настал срок поставки.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860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Соответственно можно оплачивать данному контрагенту.</w:t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Проверяем, чтобы все ТТН были подвязаны под приход или отгрузку. Для этого заходим в заказ по перевозке в директиве. Нажимаем Структура подчиненности документа. Открываем ТТН, на основе которой сделан заказ.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6096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4638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Снова заходим в структуру подчиненности уже по ТТН, и должны увидеть что ТТН связана с приходной или расходной накладной. Таким образом транспортные расходы будут включены в себестоимость.</w:t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Пример для Прихода от поставщика:</w:t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8575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Аналогичный пример для расходной накладной на клиента: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781300"/>
            <wp:effectExtent b="0" l="0" r="0" t="0"/>
            <wp:docPr id="2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Проверяем, чтобы остаток денег в ячейке После распределения был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не отрицательным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как по налу, так и по безналу. В случае, когда денег на все заказы не хватает, необходимо убрать или уменьшить часть заказов, используя инвестиционный подход.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485900"/>
            <wp:effectExtent b="0" l="0" r="0" t="0"/>
            <wp:docPr id="1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проверки всех данных нажимаем Провести и закрыть.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оплаты Директивы по оборотке необходимо поставить задачу в 1С на РСФ для проверки и выделения денег на оплату.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2639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8067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Соблюдая данную инструкцию мы сможем быстро и правильно проводить директиву по оборотке.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22" Type="http://schemas.openxmlformats.org/officeDocument/2006/relationships/image" Target="media/image12.jpg"/><Relationship Id="rId21" Type="http://schemas.openxmlformats.org/officeDocument/2006/relationships/image" Target="media/image4.jpg"/><Relationship Id="rId24" Type="http://schemas.openxmlformats.org/officeDocument/2006/relationships/image" Target="media/image3.jp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8.jpg"/><Relationship Id="rId25" Type="http://schemas.openxmlformats.org/officeDocument/2006/relationships/image" Target="media/image20.jpg"/><Relationship Id="rId28" Type="http://schemas.openxmlformats.org/officeDocument/2006/relationships/image" Target="media/image14.jpg"/><Relationship Id="rId27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uIp7pAAz-ULms7poyE1j6vJsCsbW8FmJctk7lmzNPiQ/edit#heading=h.gjdgxs" TargetMode="External"/><Relationship Id="rId8" Type="http://schemas.openxmlformats.org/officeDocument/2006/relationships/image" Target="media/image8.jpg"/><Relationship Id="rId11" Type="http://schemas.openxmlformats.org/officeDocument/2006/relationships/hyperlink" Target="https://docs.google.com/document/d/1Ik_yi70kZmCuZYGM8JW1ZisXD6DMgGt6qBCotC9b7p8/edit#heading=h.gjdgxs" TargetMode="External"/><Relationship Id="rId10" Type="http://schemas.openxmlformats.org/officeDocument/2006/relationships/image" Target="media/image16.jpg"/><Relationship Id="rId13" Type="http://schemas.openxmlformats.org/officeDocument/2006/relationships/image" Target="media/image19.jpg"/><Relationship Id="rId12" Type="http://schemas.openxmlformats.org/officeDocument/2006/relationships/image" Target="media/image2.jpg"/><Relationship Id="rId15" Type="http://schemas.openxmlformats.org/officeDocument/2006/relationships/image" Target="media/image9.jpg"/><Relationship Id="rId14" Type="http://schemas.openxmlformats.org/officeDocument/2006/relationships/image" Target="media/image17.jpg"/><Relationship Id="rId17" Type="http://schemas.openxmlformats.org/officeDocument/2006/relationships/image" Target="media/image10.jpg"/><Relationship Id="rId16" Type="http://schemas.openxmlformats.org/officeDocument/2006/relationships/hyperlink" Target="https://docs.google.com/document/d/1Rq-ml5CHkWNi60s7GW4utWZtZPIjzltF_AQEAJ47zmg/edit" TargetMode="External"/><Relationship Id="rId19" Type="http://schemas.openxmlformats.org/officeDocument/2006/relationships/image" Target="media/image11.jpg"/><Relationship Id="rId1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