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ЦЕЛЬ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Цель поста: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достигать целей предоставляющих компаний(ПК), развивать их и расширять их сферы влияний за счет выполнения стратегических планов и задач в срок силами и энергией существующих сотрудников без привлечения новых. Заниматься созданием новых предоставляющих компаний, и брать их в управление с целью выполнить все стратегические задачи, стоящие перед ними.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Замысел поста: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Генеральный директор воплощает в жизнь стратегические планы и цели силами тех сотрудников, которые уже есть в ПК. Он влияет на развитие предоставляющих компаний через исполнительных директоров (ИД) и никогда в обход них. С  помощью ИД он добивается, чтобы все сотрудники ПК знали стратегические планы, понимали какую пользу принесет выполнение стратегических планов как лично для сотрудников так и для ПК в целом и работали над воплощением стратегических планов в жизнь. ГД контролирует исполнение стратегических задач в срок на ежедневной основе путем общения с исполнительными директорами  всех ПК и корректирует их работу и направления их усилий при необходимости с целью завершить стратегические задачи в срок, а так же следит за тем чтобы хватало денег на выполнение всех стратегических задач в срок.  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