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p>
      <w:pPr>
        <w:pStyle w:val="Heading2"/>
      </w:pPr>
      <w:r>
        <w:t>Reconciliation: Smooth correction kept; no exception granted (2026-09-09)</w:t>
      </w:r>
    </w:p>
    <w:p>
      <w:r>
        <w:rPr>
          <w:b/>
          <w:i w:val="0"/>
        </w:rPr>
        <w:t xml:space="preserve">Why: </w:t>
      </w:r>
      <w:r>
        <w:t>When the robot's true position arrives and disagrees with what the headset was showing, the correction is eased in gently from a standstill rather than starting abruptly. A simpler variant that starts the correction with a sudden jolt was measured and does calm the very worst moments slightly further, but it is rougher in ordinary conditions and takes noticeably longer to settle after a large correction, so the gentler version was kept.</w:t>
      </w:r>
    </w:p>
    <w:p>
      <w:r>
        <w:rPr>
          <w:b/>
          <w:i w:val="0"/>
        </w:rPr>
        <w:t xml:space="preserve">Rejected: </w:t>
      </w:r>
      <w:r>
        <w:t>The simpler abrupt-start correction was rejected for now: its only advantage shows up at the single harshest percentile, it reverses on two of three network conditions at a less extreme percentile, and adopting it would mean permanently relaxing a comfort rule the project applies to every other method. A third, minimal approach that simply lets the view trail behind the robot was rejected outright because its testing was incomplete, and because it hides a permanent lag the current measurements cannot see.</w:t>
      </w:r>
    </w:p>
    <w:p>
      <w:r>
        <w:rPr>
          <w:b/>
          <w:i w:val="0"/>
        </w:rPr>
        <w:t xml:space="preserve">Results: </w:t>
      </w:r>
      <w:r>
        <w:t>results/exp-005-exp-smooth-c1-tradeoff/20260909-025400Z/</w:t>
      </w:r>
    </w:p>
    <w:p>
      <w:r>
        <w:rPr>
          <w:b/>
          <w:i w:val="0"/>
        </w:rPr>
        <w:t xml:space="preserve">Full reasoning: </w:t>
      </w:r>
      <w:r>
        <w:t>docs/research-log/2026-09-09-exp-smooth-c1-tradeoff-decisions.md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