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8CA6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30C56">
        <w:rPr>
          <w:rFonts w:ascii="Times New Roman" w:hAnsi="Times New Roman" w:cs="Times New Roman"/>
          <w:sz w:val="28"/>
          <w:szCs w:val="28"/>
        </w:rPr>
        <w:t>БГУИР</w:t>
      </w:r>
    </w:p>
    <w:p w14:paraId="7FAA94DE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30C56">
        <w:rPr>
          <w:rFonts w:ascii="Times New Roman" w:hAnsi="Times New Roman" w:cs="Times New Roman"/>
          <w:sz w:val="28"/>
          <w:szCs w:val="28"/>
        </w:rPr>
        <w:t>Кафедра ЗИ</w:t>
      </w:r>
    </w:p>
    <w:p w14:paraId="4E1DFD50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8BB8DB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E3F9EBF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B9E286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34000C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4F2D69B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1FB0BB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CBC728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1A41F79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584BE9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64F34D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D699A7" w14:textId="68785F60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30C56">
        <w:rPr>
          <w:rFonts w:ascii="Times New Roman" w:hAnsi="Times New Roman" w:cs="Times New Roman"/>
          <w:sz w:val="28"/>
          <w:szCs w:val="28"/>
        </w:rPr>
        <w:t>Отчёт по практическому занятию 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30C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17CD9" w14:textId="44D4116E" w:rsidR="00D0747E" w:rsidRPr="00D0747E" w:rsidRDefault="00D0747E" w:rsidP="00D0747E">
      <w:pPr>
        <w:pStyle w:val="a3"/>
        <w:jc w:val="center"/>
      </w:pPr>
      <w:r w:rsidRPr="00230C56">
        <w:rPr>
          <w:sz w:val="28"/>
          <w:szCs w:val="28"/>
        </w:rPr>
        <w:t>«</w:t>
      </w:r>
      <w:r w:rsidRPr="00D0747E">
        <w:rPr>
          <w:rFonts w:ascii="TimesNewRomanPS" w:hAnsi="TimesNewRomanPS"/>
          <w:sz w:val="28"/>
          <w:szCs w:val="28"/>
        </w:rPr>
        <w:t>ЗАЩИТА ПРАВ АВТОРОВ И ПРАВООБЛАДАТЕЛЕЙ</w:t>
      </w:r>
      <w:r w:rsidRPr="00230C56">
        <w:rPr>
          <w:sz w:val="28"/>
          <w:szCs w:val="28"/>
        </w:rPr>
        <w:t>»</w:t>
      </w:r>
    </w:p>
    <w:p w14:paraId="17AF813A" w14:textId="77777777" w:rsidR="00D0747E" w:rsidRPr="00D0747E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2FD533B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6ECB04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6EFDFE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12D331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3CB113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5622189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AD535F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4642BBE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1EEF5C2" w14:textId="77777777" w:rsidR="00D0747E" w:rsidRPr="00230C56" w:rsidRDefault="00D0747E" w:rsidP="00D0747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30C56">
        <w:rPr>
          <w:rFonts w:ascii="Times New Roman" w:hAnsi="Times New Roman" w:cs="Times New Roman"/>
          <w:sz w:val="28"/>
          <w:szCs w:val="28"/>
        </w:rPr>
        <w:t xml:space="preserve">Выполнили </w:t>
      </w:r>
      <w:proofErr w:type="gramStart"/>
      <w:r w:rsidRPr="00230C56">
        <w:rPr>
          <w:rFonts w:ascii="Times New Roman" w:hAnsi="Times New Roman" w:cs="Times New Roman"/>
          <w:sz w:val="28"/>
          <w:szCs w:val="28"/>
        </w:rPr>
        <w:t>студенты</w:t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  <w:t>Проверил</w:t>
      </w:r>
      <w:proofErr w:type="gramEnd"/>
      <w:r w:rsidRPr="00230C56">
        <w:rPr>
          <w:rFonts w:ascii="Times New Roman" w:hAnsi="Times New Roman" w:cs="Times New Roman"/>
          <w:sz w:val="28"/>
          <w:szCs w:val="28"/>
        </w:rPr>
        <w:t>:</w:t>
      </w:r>
    </w:p>
    <w:p w14:paraId="4D61A467" w14:textId="77777777" w:rsidR="00AF6A1A" w:rsidRDefault="00D0747E" w:rsidP="00D0747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30C56">
        <w:rPr>
          <w:rFonts w:ascii="Times New Roman" w:hAnsi="Times New Roman" w:cs="Times New Roman"/>
          <w:sz w:val="28"/>
          <w:szCs w:val="28"/>
        </w:rPr>
        <w:t>группы 950503:</w:t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0C56">
        <w:rPr>
          <w:rFonts w:ascii="Times New Roman" w:hAnsi="Times New Roman" w:cs="Times New Roman"/>
          <w:sz w:val="28"/>
          <w:szCs w:val="28"/>
        </w:rPr>
        <w:t>Столер</w:t>
      </w:r>
      <w:proofErr w:type="spellEnd"/>
      <w:r w:rsidRPr="00230C56">
        <w:rPr>
          <w:rFonts w:ascii="Times New Roman" w:hAnsi="Times New Roman" w:cs="Times New Roman"/>
          <w:sz w:val="28"/>
          <w:szCs w:val="28"/>
        </w:rPr>
        <w:t xml:space="preserve"> Д.В </w:t>
      </w:r>
    </w:p>
    <w:p w14:paraId="5E077B15" w14:textId="1B85A719" w:rsidR="00AF6A1A" w:rsidRDefault="00AF6A1A" w:rsidP="00D0747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Гордые ребятки…</w:t>
      </w:r>
    </w:p>
    <w:p w14:paraId="7756F63B" w14:textId="35ECF1DD" w:rsidR="00D0747E" w:rsidRPr="00230C56" w:rsidRDefault="00D0747E" w:rsidP="00D0747E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230C56">
        <w:rPr>
          <w:rFonts w:ascii="Times New Roman" w:hAnsi="Times New Roman" w:cs="Times New Roman"/>
          <w:sz w:val="28"/>
          <w:szCs w:val="28"/>
        </w:rPr>
        <w:t>Бабицкий</w:t>
      </w:r>
      <w:proofErr w:type="spellEnd"/>
      <w:r w:rsidRPr="00230C5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E311EDB" w14:textId="77777777" w:rsidR="00D0747E" w:rsidRPr="00230C56" w:rsidRDefault="00D0747E" w:rsidP="00D0747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30C56">
        <w:rPr>
          <w:rFonts w:ascii="Times New Roman" w:hAnsi="Times New Roman" w:cs="Times New Roman"/>
          <w:sz w:val="28"/>
          <w:szCs w:val="28"/>
        </w:rPr>
        <w:t>Белоусов И.А.</w:t>
      </w:r>
    </w:p>
    <w:p w14:paraId="1D79A747" w14:textId="77777777" w:rsidR="00D0747E" w:rsidRPr="00230C56" w:rsidRDefault="00D0747E" w:rsidP="00D0747E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230C56">
        <w:rPr>
          <w:rFonts w:ascii="Times New Roman" w:hAnsi="Times New Roman" w:cs="Times New Roman"/>
          <w:sz w:val="28"/>
          <w:szCs w:val="28"/>
        </w:rPr>
        <w:t>Кибок</w:t>
      </w:r>
      <w:proofErr w:type="spellEnd"/>
      <w:r w:rsidRPr="00230C56">
        <w:rPr>
          <w:rFonts w:ascii="Times New Roman" w:hAnsi="Times New Roman" w:cs="Times New Roman"/>
          <w:sz w:val="28"/>
          <w:szCs w:val="28"/>
        </w:rPr>
        <w:t xml:space="preserve"> Е.Р.</w:t>
      </w:r>
    </w:p>
    <w:p w14:paraId="5F1321F6" w14:textId="77777777" w:rsidR="00D0747E" w:rsidRPr="00230C56" w:rsidRDefault="00D0747E" w:rsidP="00D0747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30C56">
        <w:rPr>
          <w:rFonts w:ascii="Times New Roman" w:hAnsi="Times New Roman" w:cs="Times New Roman"/>
          <w:sz w:val="28"/>
          <w:szCs w:val="28"/>
        </w:rPr>
        <w:tab/>
      </w:r>
      <w:r w:rsidRPr="00230C56">
        <w:rPr>
          <w:rFonts w:ascii="Times New Roman" w:hAnsi="Times New Roman" w:cs="Times New Roman"/>
          <w:sz w:val="28"/>
          <w:szCs w:val="28"/>
        </w:rPr>
        <w:tab/>
      </w:r>
    </w:p>
    <w:p w14:paraId="7C0ACC08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5423DCD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949B4B8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BA6C91E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7E4850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A8D251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99628A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661E61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DA263BA" w14:textId="77777777" w:rsidR="00D0747E" w:rsidRPr="00230C56" w:rsidRDefault="00D0747E" w:rsidP="00D0747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D8D845" w14:textId="77777777" w:rsidR="00D0747E" w:rsidRPr="00230C56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9F33E53" w14:textId="0C6833AC" w:rsidR="00D0747E" w:rsidRPr="00D0747E" w:rsidRDefault="00D0747E" w:rsidP="00D0747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30C56">
        <w:rPr>
          <w:rFonts w:ascii="Times New Roman" w:hAnsi="Times New Roman" w:cs="Times New Roman"/>
          <w:sz w:val="28"/>
          <w:szCs w:val="28"/>
        </w:rPr>
        <w:lastRenderedPageBreak/>
        <w:t>Минск 2021</w:t>
      </w:r>
    </w:p>
    <w:p w14:paraId="01B383A0" w14:textId="37E1BBED" w:rsidR="00AF532B" w:rsidRDefault="00D0747E" w:rsidP="00D0747E">
      <w:pPr>
        <w:pStyle w:val="a3"/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  <w:lang w:val="ru-RU"/>
        </w:rPr>
        <w:t xml:space="preserve">1. </w:t>
      </w:r>
      <w:r w:rsidR="00AF532B">
        <w:rPr>
          <w:rFonts w:ascii="TimesNewRomanPSMT" w:hAnsi="TimesNewRomanPSMT"/>
          <w:sz w:val="28"/>
          <w:szCs w:val="28"/>
        </w:rPr>
        <w:t xml:space="preserve">Покупка лицензии на ОПС – основной способ получения прибыли для патентообладателя и основной способ правомерного использования новой запатентованной технологии в производстве для предприятия. </w:t>
      </w:r>
      <w:r w:rsidR="00AF532B">
        <w:rPr>
          <w:rFonts w:ascii="TimesNewRomanPSMT" w:hAnsi="TimesNewRomanPSMT"/>
          <w:sz w:val="28"/>
          <w:szCs w:val="28"/>
          <w:lang w:val="ru-RU"/>
        </w:rPr>
        <w:t>Л</w:t>
      </w:r>
      <w:r w:rsidR="00AF532B">
        <w:rPr>
          <w:rFonts w:ascii="TimesNewRomanPSMT" w:hAnsi="TimesNewRomanPSMT"/>
          <w:sz w:val="28"/>
          <w:szCs w:val="28"/>
        </w:rPr>
        <w:t>ицензион</w:t>
      </w:r>
      <w:proofErr w:type="spellStart"/>
      <w:r w:rsidR="00AF532B">
        <w:rPr>
          <w:rFonts w:ascii="TimesNewRomanPSMT" w:hAnsi="TimesNewRomanPSMT"/>
          <w:sz w:val="28"/>
          <w:szCs w:val="28"/>
          <w:lang w:val="ru-RU"/>
        </w:rPr>
        <w:t>ный</w:t>
      </w:r>
      <w:proofErr w:type="spellEnd"/>
      <w:r w:rsidR="00AF532B">
        <w:rPr>
          <w:rFonts w:ascii="TimesNewRomanPSMT" w:hAnsi="TimesNewRomanPSMT"/>
          <w:sz w:val="28"/>
          <w:szCs w:val="28"/>
        </w:rPr>
        <w:t xml:space="preserve"> договор</w:t>
      </w:r>
      <w:r w:rsidR="00AF532B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AF532B">
        <w:rPr>
          <w:rFonts w:ascii="TimesNewRomanPSMT" w:hAnsi="TimesNewRomanPSMT"/>
          <w:sz w:val="28"/>
          <w:szCs w:val="28"/>
        </w:rPr>
        <w:t xml:space="preserve">представляет собой документ, определяющий права на ОПС, которые передает обладатель исключительных имущественных прав (лицензиар) другому лицу (лицензиату) полностью или частично. </w:t>
      </w:r>
    </w:p>
    <w:p w14:paraId="0A56C9E3" w14:textId="5ECD523C" w:rsidR="00AF532B" w:rsidRPr="00AF532B" w:rsidRDefault="00AF532B" w:rsidP="00D0747E">
      <w:pPr>
        <w:pStyle w:val="a3"/>
        <w:spacing w:before="0" w:beforeAutospacing="0" w:after="0" w:afterAutospacing="0"/>
      </w:pPr>
    </w:p>
    <w:p w14:paraId="4DFA21BD" w14:textId="5CE35868" w:rsidR="00AF532B" w:rsidRDefault="00AF532B" w:rsidP="00D0747E">
      <w:pPr>
        <w:pStyle w:val="a3"/>
        <w:spacing w:before="0" w:beforeAutospacing="0" w:after="0" w:afterAutospacing="0"/>
      </w:pPr>
      <w:r>
        <w:rPr>
          <w:sz w:val="28"/>
          <w:szCs w:val="28"/>
          <w:lang w:val="ru-RU"/>
        </w:rPr>
        <w:t xml:space="preserve">2. </w:t>
      </w:r>
      <w:r>
        <w:rPr>
          <w:rFonts w:ascii="TimesNewRomanPSMT" w:hAnsi="TimesNewRomanPSMT"/>
          <w:sz w:val="28"/>
          <w:szCs w:val="28"/>
        </w:rPr>
        <w:t xml:space="preserve">При определении стоимости лицензии учитывают также следующие факторы: </w:t>
      </w:r>
    </w:p>
    <w:p w14:paraId="3E43B8AA" w14:textId="034A109D" w:rsidR="00D0747E" w:rsidRDefault="00AF532B" w:rsidP="00D0747E">
      <w:pPr>
        <w:pStyle w:val="a3"/>
        <w:spacing w:before="0" w:beforeAutospacing="0" w:after="0" w:afterAutospacing="0"/>
        <w:ind w:left="708"/>
        <w:jc w:val="both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>а)объем прав, предоставляемых лицензиату (исключительная или простая лицензия; право производить, использовать, продавать продукцию или весь комплекс</w:t>
      </w:r>
      <w:r w:rsidR="00D0747E">
        <w:rPr>
          <w:rFonts w:ascii="TimesNewRomanPSMT" w:hAnsi="TimesNewRomanPSMT"/>
          <w:sz w:val="28"/>
          <w:szCs w:val="28"/>
          <w:lang w:val="ru-RU"/>
        </w:rPr>
        <w:t xml:space="preserve"> прав. </w:t>
      </w:r>
    </w:p>
    <w:p w14:paraId="170AB46F" w14:textId="0CB3800F" w:rsidR="00AF532B" w:rsidRDefault="00AF532B" w:rsidP="00D0747E">
      <w:pPr>
        <w:pStyle w:val="a3"/>
        <w:spacing w:before="0" w:beforeAutospacing="0" w:after="0" w:afterAutospacing="0"/>
        <w:ind w:left="708"/>
        <w:jc w:val="both"/>
      </w:pPr>
      <w:r>
        <w:rPr>
          <w:rFonts w:ascii="TimesNewRomanPSMT" w:hAnsi="TimesNewRomanPSMT"/>
          <w:sz w:val="28"/>
          <w:szCs w:val="28"/>
        </w:rPr>
        <w:t xml:space="preserve">б) прибыль или экономию, которую использование лицензии может принести лицензиату; </w:t>
      </w:r>
    </w:p>
    <w:p w14:paraId="10B8D347" w14:textId="77777777" w:rsidR="00AF532B" w:rsidRDefault="00AF532B" w:rsidP="00D0747E">
      <w:pPr>
        <w:pStyle w:val="a3"/>
        <w:spacing w:before="0" w:beforeAutospacing="0" w:after="0" w:afterAutospacing="0"/>
        <w:ind w:left="708"/>
        <w:jc w:val="both"/>
      </w:pPr>
      <w:r>
        <w:rPr>
          <w:rFonts w:ascii="TimesNewRomanPSMT" w:hAnsi="TimesNewRomanPSMT"/>
          <w:sz w:val="28"/>
          <w:szCs w:val="28"/>
        </w:rPr>
        <w:t xml:space="preserve">в) ожидаемый объем товара, производимого по лицензии, или возможности использования технологического процесса (аппаратуры), на который предлагается лицензия; </w:t>
      </w:r>
    </w:p>
    <w:p w14:paraId="1D8E132D" w14:textId="77777777" w:rsidR="00AF532B" w:rsidRDefault="00AF532B" w:rsidP="00D0747E">
      <w:pPr>
        <w:pStyle w:val="a3"/>
        <w:spacing w:before="0" w:beforeAutospacing="0" w:after="0" w:afterAutospacing="0"/>
        <w:ind w:left="708"/>
        <w:jc w:val="both"/>
      </w:pPr>
      <w:r>
        <w:rPr>
          <w:rFonts w:ascii="TimesNewRomanPSMT" w:hAnsi="TimesNewRomanPSMT"/>
          <w:sz w:val="28"/>
          <w:szCs w:val="28"/>
        </w:rPr>
        <w:t xml:space="preserve">г)объем технологических работ, необходимый лицензиату для освоения процесса по лицензии; стоимость конструкторских работ (разработка чертежей, спецификаций и т. д.); </w:t>
      </w:r>
    </w:p>
    <w:p w14:paraId="6E826AA7" w14:textId="77777777" w:rsidR="00AF532B" w:rsidRDefault="00AF532B" w:rsidP="00D0747E">
      <w:pPr>
        <w:pStyle w:val="a3"/>
        <w:spacing w:before="0" w:beforeAutospacing="0" w:after="0" w:afterAutospacing="0"/>
        <w:ind w:left="708"/>
        <w:jc w:val="both"/>
      </w:pPr>
      <w:r>
        <w:rPr>
          <w:rFonts w:ascii="TimesNewRomanPSMT" w:hAnsi="TimesNewRomanPSMT"/>
          <w:sz w:val="28"/>
          <w:szCs w:val="28"/>
        </w:rPr>
        <w:t xml:space="preserve">д) вид и характер обязательств, принимаемых на себя по соглашению, например, технические гарантии и ответственность, отсутствие исков третьих лиц, объем помощи, предоставляемой лицензиаром, и т.д.; </w:t>
      </w:r>
    </w:p>
    <w:p w14:paraId="128EBA19" w14:textId="77777777" w:rsidR="00D0747E" w:rsidRDefault="00AF532B" w:rsidP="00D0747E">
      <w:pPr>
        <w:pStyle w:val="a3"/>
        <w:spacing w:before="0" w:beforeAutospacing="0" w:after="0" w:afterAutospacing="0"/>
        <w:ind w:left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е) ограничительные условия:</w:t>
      </w:r>
    </w:p>
    <w:p w14:paraId="3FA38385" w14:textId="631264CD" w:rsidR="00AF532B" w:rsidRPr="00D0747E" w:rsidRDefault="00D0747E" w:rsidP="00D0747E">
      <w:pPr>
        <w:pStyle w:val="a3"/>
        <w:spacing w:before="0" w:beforeAutospacing="0" w:after="0" w:afterAutospacing="0"/>
        <w:ind w:left="141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1) </w:t>
      </w:r>
      <w:r w:rsidR="00AF532B">
        <w:rPr>
          <w:rFonts w:ascii="TimesNewRomanPSMT" w:hAnsi="TimesNewRomanPSMT"/>
          <w:sz w:val="28"/>
          <w:szCs w:val="28"/>
        </w:rPr>
        <w:t xml:space="preserve">срок действия и территория соглашения; </w:t>
      </w:r>
    </w:p>
    <w:p w14:paraId="7EF95FFA" w14:textId="77777777" w:rsidR="00AF532B" w:rsidRDefault="00AF532B" w:rsidP="00D0747E">
      <w:pPr>
        <w:pStyle w:val="a3"/>
        <w:spacing w:before="0" w:beforeAutospacing="0" w:after="0" w:afterAutospacing="0"/>
        <w:ind w:left="708" w:firstLine="708"/>
      </w:pPr>
      <w:r>
        <w:rPr>
          <w:rFonts w:ascii="TimesNewRomanPSMT" w:hAnsi="TimesNewRomanPSMT"/>
          <w:sz w:val="28"/>
          <w:szCs w:val="28"/>
        </w:rPr>
        <w:t xml:space="preserve">2) объем выпуска продукции по лицензии; </w:t>
      </w:r>
    </w:p>
    <w:p w14:paraId="3FE3F1C8" w14:textId="77777777" w:rsidR="00AF532B" w:rsidRDefault="00AF532B" w:rsidP="00D0747E">
      <w:pPr>
        <w:pStyle w:val="a3"/>
        <w:spacing w:before="0" w:beforeAutospacing="0" w:after="0" w:afterAutospacing="0"/>
        <w:ind w:left="1416"/>
      </w:pPr>
      <w:r>
        <w:rPr>
          <w:rFonts w:ascii="TimesNewRomanPSMT" w:hAnsi="TimesNewRomanPSMT"/>
          <w:sz w:val="28"/>
          <w:szCs w:val="28"/>
        </w:rPr>
        <w:t xml:space="preserve">3) наличие конкуренции на данном рынке, ограничивающей объем реализации продукции; </w:t>
      </w:r>
    </w:p>
    <w:p w14:paraId="26BF5827" w14:textId="77777777" w:rsidR="00AF532B" w:rsidRDefault="00AF532B" w:rsidP="00D0747E">
      <w:pPr>
        <w:pStyle w:val="a3"/>
        <w:spacing w:before="0" w:beforeAutospacing="0" w:after="0" w:afterAutospacing="0"/>
        <w:ind w:left="1416"/>
      </w:pPr>
      <w:r>
        <w:rPr>
          <w:rFonts w:ascii="TimesNewRomanPSMT" w:hAnsi="TimesNewRomanPSMT"/>
          <w:sz w:val="28"/>
          <w:szCs w:val="28"/>
        </w:rPr>
        <w:t xml:space="preserve">4) сроки, необходимые для организации производства продукции по лицензии; </w:t>
      </w:r>
    </w:p>
    <w:p w14:paraId="681B8059" w14:textId="77777777" w:rsidR="00D0747E" w:rsidRDefault="00AF532B" w:rsidP="00D0747E">
      <w:pPr>
        <w:pStyle w:val="a3"/>
        <w:spacing w:before="0" w:beforeAutospacing="0" w:after="0" w:afterAutospacing="0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ж) финансовые условия:</w:t>
      </w:r>
    </w:p>
    <w:p w14:paraId="4B80878F" w14:textId="265D65EA" w:rsidR="00D0747E" w:rsidRDefault="00AF532B" w:rsidP="00D0747E">
      <w:pPr>
        <w:pStyle w:val="a3"/>
        <w:spacing w:before="0" w:beforeAutospacing="0" w:after="0" w:afterAutospacing="0"/>
        <w:ind w:left="141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/>
        <w:t xml:space="preserve">1) цены на сырье, оборудование, электроэнергию, рабочую силу; </w:t>
      </w:r>
    </w:p>
    <w:p w14:paraId="6748D49C" w14:textId="1A08635C" w:rsidR="00D0747E" w:rsidRDefault="00AF532B" w:rsidP="00D0747E">
      <w:pPr>
        <w:pStyle w:val="a3"/>
        <w:spacing w:before="0" w:beforeAutospacing="0" w:after="0" w:afterAutospacing="0"/>
        <w:ind w:left="141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2)ставки банковского процента;</w:t>
      </w:r>
      <w:r>
        <w:rPr>
          <w:rFonts w:ascii="TimesNewRomanPSMT" w:hAnsi="TimesNewRomanPSMT"/>
          <w:sz w:val="28"/>
          <w:szCs w:val="28"/>
        </w:rPr>
        <w:br/>
        <w:t xml:space="preserve">3) налоговая система, относящаяся к покупке-продаже лицензий; </w:t>
      </w:r>
    </w:p>
    <w:p w14:paraId="15A5A97C" w14:textId="3C3F666A" w:rsidR="00AF532B" w:rsidRPr="00D0747E" w:rsidRDefault="00AF532B" w:rsidP="00D0747E">
      <w:pPr>
        <w:pStyle w:val="a3"/>
        <w:spacing w:before="0" w:beforeAutospacing="0" w:after="0" w:afterAutospacing="0"/>
        <w:ind w:left="141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4) инфляционные процессы;</w:t>
      </w:r>
      <w:r>
        <w:rPr>
          <w:rFonts w:ascii="TimesNewRomanPSMT" w:hAnsi="TimesNewRomanPSMT"/>
          <w:sz w:val="28"/>
          <w:szCs w:val="28"/>
        </w:rPr>
        <w:br/>
        <w:t xml:space="preserve">5) изменение курсов валют и др.; </w:t>
      </w:r>
    </w:p>
    <w:p w14:paraId="62865161" w14:textId="77777777" w:rsidR="00D0747E" w:rsidRDefault="00AF532B" w:rsidP="00D0747E">
      <w:pPr>
        <w:pStyle w:val="a3"/>
        <w:spacing w:before="0" w:beforeAutospacing="0" w:after="0" w:afterAutospacing="0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з) характер и условия платежа:</w:t>
      </w:r>
    </w:p>
    <w:p w14:paraId="799E3070" w14:textId="77777777" w:rsidR="00D0747E" w:rsidRDefault="00AF532B" w:rsidP="00D0747E">
      <w:pPr>
        <w:pStyle w:val="a3"/>
        <w:spacing w:before="0" w:beforeAutospacing="0" w:after="0" w:afterAutospacing="0"/>
        <w:ind w:left="141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br/>
        <w:t>1) паушальный (единовременный);</w:t>
      </w:r>
      <w:r>
        <w:rPr>
          <w:rFonts w:ascii="TimesNewRomanPSMT" w:hAnsi="TimesNewRomanPSMT"/>
          <w:sz w:val="28"/>
          <w:szCs w:val="28"/>
        </w:rPr>
        <w:br/>
        <w:t>2) роялти (периодические отчисления);</w:t>
      </w:r>
    </w:p>
    <w:p w14:paraId="0F63C14F" w14:textId="44B52688" w:rsidR="00AF532B" w:rsidRDefault="00AF532B" w:rsidP="00D0747E">
      <w:pPr>
        <w:pStyle w:val="a3"/>
        <w:spacing w:before="0" w:beforeAutospacing="0" w:after="0" w:afterAutospacing="0"/>
        <w:ind w:left="708" w:firstLine="708"/>
      </w:pPr>
      <w:r>
        <w:rPr>
          <w:rFonts w:ascii="TimesNewRomanPSMT" w:hAnsi="TimesNewRomanPSMT"/>
          <w:sz w:val="28"/>
          <w:szCs w:val="28"/>
        </w:rPr>
        <w:t xml:space="preserve">3) комбинированные платежи. </w:t>
      </w:r>
    </w:p>
    <w:p w14:paraId="4FC32E15" w14:textId="6D88B6CD" w:rsidR="00AF532B" w:rsidRDefault="00AF532B" w:rsidP="00D0747E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международной и внутренней практике лицензионной торговли наиболее широко используют два основных метода расчета цены лицензии: затратный и в форме текущих платежей (роялти). </w:t>
      </w:r>
    </w:p>
    <w:p w14:paraId="30D9BC87" w14:textId="77777777" w:rsidR="00D0747E" w:rsidRDefault="00D0747E" w:rsidP="00D0747E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C86DE39" w14:textId="77777777" w:rsidR="00AF532B" w:rsidRDefault="00AF532B" w:rsidP="00D0747E">
      <w:pPr>
        <w:pStyle w:val="a3"/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  <w:lang w:val="ru-RU"/>
        </w:rPr>
        <w:t xml:space="preserve">3. </w:t>
      </w:r>
      <w:r>
        <w:rPr>
          <w:rFonts w:ascii="TimesNewRomanPSMT" w:hAnsi="TimesNewRomanPSMT"/>
          <w:sz w:val="28"/>
          <w:szCs w:val="28"/>
        </w:rPr>
        <w:t xml:space="preserve">Цена лицензии при условии выплаты лицензионного вознаграждения в форме роялти формируется в основном тремя факторами: </w:t>
      </w:r>
    </w:p>
    <w:p w14:paraId="7D07FD0E" w14:textId="77777777" w:rsidR="00AF532B" w:rsidRDefault="00AF532B" w:rsidP="00D0747E">
      <w:pPr>
        <w:pStyle w:val="a3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</w:rPr>
        <w:t xml:space="preserve">– </w:t>
      </w:r>
      <w:r>
        <w:rPr>
          <w:rFonts w:ascii="TimesNewRomanPSMT" w:hAnsi="TimesNewRomanPSMT"/>
          <w:sz w:val="28"/>
          <w:szCs w:val="28"/>
        </w:rPr>
        <w:t>сроком действия лицензионного договора;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2"/>
          <w:szCs w:val="22"/>
        </w:rPr>
        <w:t xml:space="preserve">– </w:t>
      </w:r>
      <w:r>
        <w:rPr>
          <w:rFonts w:ascii="TimesNewRomanPSMT" w:hAnsi="TimesNewRomanPSMT"/>
          <w:sz w:val="28"/>
          <w:szCs w:val="28"/>
        </w:rPr>
        <w:t>базой роялти;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2"/>
          <w:szCs w:val="22"/>
        </w:rPr>
        <w:t xml:space="preserve">– </w:t>
      </w:r>
      <w:r>
        <w:rPr>
          <w:rFonts w:ascii="TimesNewRomanPSMT" w:hAnsi="TimesNewRomanPSMT"/>
          <w:sz w:val="28"/>
          <w:szCs w:val="28"/>
        </w:rPr>
        <w:t>ставкой роялти.</w:t>
      </w:r>
    </w:p>
    <w:p w14:paraId="6855D505" w14:textId="4CC9596B" w:rsidR="00AF532B" w:rsidRPr="00AF532B" w:rsidRDefault="00AF532B" w:rsidP="00D0747E">
      <w:pPr>
        <w:pStyle w:val="a3"/>
        <w:spacing w:before="0" w:beforeAutospacing="0" w:after="0" w:afterAutospacing="0"/>
      </w:pPr>
      <w:r w:rsidRPr="00D0747E">
        <w:rPr>
          <w:rFonts w:ascii="TimesNewRomanPS" w:hAnsi="TimesNewRomanPS"/>
          <w:sz w:val="28"/>
          <w:szCs w:val="28"/>
        </w:rPr>
        <w:t>Расчет стоимости (цены) лицензии в форме роялти</w:t>
      </w:r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может быть произведен по следующ</w:t>
      </w:r>
      <w:r w:rsidR="004E575C">
        <w:rPr>
          <w:rFonts w:ascii="TimesNewRomanPSMT" w:hAnsi="TimesNewRomanPSMT"/>
          <w:sz w:val="28"/>
          <w:szCs w:val="28"/>
          <w:lang w:val="ru-RU"/>
        </w:rPr>
        <w:t>ей</w:t>
      </w:r>
      <w:r>
        <w:rPr>
          <w:rFonts w:ascii="TimesNewRomanPSMT" w:hAnsi="TimesNewRomanPSMT"/>
          <w:sz w:val="28"/>
          <w:szCs w:val="28"/>
        </w:rPr>
        <w:t xml:space="preserve"> формул</w:t>
      </w:r>
      <w:r w:rsidR="004E575C">
        <w:rPr>
          <w:rFonts w:ascii="TimesNewRomanPSMT" w:hAnsi="TimesNewRomanPSMT"/>
          <w:sz w:val="28"/>
          <w:szCs w:val="28"/>
          <w:lang w:val="ru-RU"/>
        </w:rPr>
        <w:t>е, е</w:t>
      </w:r>
      <w:r>
        <w:rPr>
          <w:rFonts w:ascii="TimesNewRomanPSMT" w:hAnsi="TimesNewRomanPSMT"/>
          <w:sz w:val="28"/>
          <w:szCs w:val="28"/>
        </w:rPr>
        <w:t xml:space="preserve">сли за базу роялти принимается стоимость произведенной продукции, расчет цены лицензии производится по формуле: </w:t>
      </w:r>
    </w:p>
    <w:p w14:paraId="15E15416" w14:textId="4E84A15A" w:rsidR="004E575C" w:rsidRDefault="00AF532B" w:rsidP="00D0747E">
      <w:r>
        <w:rPr>
          <w:noProof/>
        </w:rPr>
        <w:drawing>
          <wp:inline distT="0" distB="0" distL="0" distR="0" wp14:anchorId="6D05906F" wp14:editId="7FD59467">
            <wp:extent cx="2794000" cy="90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C9DE" w14:textId="753E99F1" w:rsidR="004E575C" w:rsidRDefault="004E575C" w:rsidP="00D0747E"/>
    <w:p w14:paraId="0B9C3415" w14:textId="12D05353" w:rsidR="004E575C" w:rsidRPr="004E575C" w:rsidRDefault="004E575C" w:rsidP="00D0747E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 w:rsidRPr="004E575C">
        <w:rPr>
          <w:rFonts w:ascii="TimesNewRomanPS" w:hAnsi="TimesNewRomanPS"/>
          <w:sz w:val="28"/>
          <w:szCs w:val="28"/>
          <w:lang w:val="ru-RU"/>
        </w:rPr>
        <w:t>4.</w:t>
      </w:r>
      <w:r w:rsidRPr="004E575C">
        <w:rPr>
          <w:rFonts w:ascii="TimesNewRomanPS" w:hAnsi="TimesNewRomanPS"/>
          <w:sz w:val="28"/>
          <w:szCs w:val="28"/>
        </w:rPr>
        <w:t>Размер (ставка) роялти</w:t>
      </w:r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определяется с помощью таблиц стандартных ставок роялти, составленных на основе анализа мировой практики лицензионной торговли либо расчетным путем исходя из нормы рентабельности выпускаемой по лицензии продукции и доли лицензиара в прибыли лицензиата: </w:t>
      </w:r>
    </w:p>
    <w:p w14:paraId="7DA4AFE7" w14:textId="09D9132A" w:rsidR="004E575C" w:rsidRDefault="004E575C" w:rsidP="00D07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0A56F" wp14:editId="20FC4B14">
            <wp:extent cx="1429352" cy="82296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1" cy="8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4386" w14:textId="40EE1947" w:rsidR="004E575C" w:rsidRDefault="004E575C" w:rsidP="00D0747E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где </w:t>
      </w:r>
      <w:r>
        <w:rPr>
          <w:rFonts w:ascii="TimesNewRomanPS" w:hAnsi="TimesNewRomanPS"/>
          <w:i/>
          <w:iCs/>
          <w:sz w:val="28"/>
          <w:szCs w:val="28"/>
        </w:rPr>
        <w:t xml:space="preserve">r </w:t>
      </w:r>
      <w:r>
        <w:rPr>
          <w:rFonts w:ascii="TimesNewRomanPSMT" w:hAnsi="TimesNewRomanPSMT"/>
          <w:sz w:val="28"/>
          <w:szCs w:val="28"/>
        </w:rPr>
        <w:t>– норма рентабельности продукции;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" w:hAnsi="TimesNewRomanPS"/>
          <w:i/>
          <w:iCs/>
          <w:sz w:val="28"/>
          <w:szCs w:val="28"/>
        </w:rPr>
        <w:t xml:space="preserve">d </w:t>
      </w:r>
      <w:r>
        <w:rPr>
          <w:rFonts w:ascii="TimesNewRomanPSMT" w:hAnsi="TimesNewRomanPSMT"/>
          <w:sz w:val="28"/>
          <w:szCs w:val="28"/>
        </w:rPr>
        <w:t xml:space="preserve">– доля лицензиара в прибыли лицензиата. </w:t>
      </w:r>
    </w:p>
    <w:p w14:paraId="094C9A5A" w14:textId="77777777" w:rsidR="00D0747E" w:rsidRDefault="00D0747E" w:rsidP="00D0747E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316C20E7" w14:textId="4DFDCDCC" w:rsidR="004E575C" w:rsidRDefault="004E575C" w:rsidP="00D0747E">
      <w:pPr>
        <w:pStyle w:val="a3"/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  <w:lang w:val="ru-RU"/>
        </w:rPr>
        <w:t xml:space="preserve">5. </w:t>
      </w:r>
      <w:r w:rsidRPr="004E575C">
        <w:rPr>
          <w:rFonts w:ascii="TimesNewRomanPS" w:hAnsi="TimesNewRomanPS"/>
          <w:sz w:val="28"/>
          <w:szCs w:val="28"/>
        </w:rPr>
        <w:t>Цена лицензии в форме паушального</w:t>
      </w:r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D0747E">
        <w:rPr>
          <w:rFonts w:ascii="TimesNewRomanPS" w:hAnsi="TimesNewRomanPS"/>
          <w:sz w:val="28"/>
          <w:szCs w:val="28"/>
        </w:rPr>
        <w:t>платежа</w:t>
      </w:r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(</w:t>
      </w:r>
      <w:proofErr w:type="gramStart"/>
      <w:r>
        <w:rPr>
          <w:rFonts w:ascii="TimesNewRomanPSMT" w:hAnsi="TimesNewRomanPSMT"/>
          <w:sz w:val="28"/>
          <w:szCs w:val="28"/>
        </w:rPr>
        <w:t>Ц</w:t>
      </w:r>
      <w:r>
        <w:rPr>
          <w:rFonts w:ascii="TimesNewRomanPSMT" w:hAnsi="TimesNewRomanPSMT"/>
          <w:position w:val="-4"/>
          <w:sz w:val="18"/>
          <w:szCs w:val="18"/>
        </w:rPr>
        <w:t>л.п</w:t>
      </w:r>
      <w:proofErr w:type="gramEnd"/>
      <w:r>
        <w:rPr>
          <w:rFonts w:ascii="TimesNewRomanPSMT" w:hAnsi="TimesNewRomanPSMT"/>
          <w:sz w:val="28"/>
          <w:szCs w:val="28"/>
        </w:rPr>
        <w:t xml:space="preserve">) рассчитывается с применением коэффициента дисконтирования, когда за базу роялти принимается стоимость произведенной продукции: </w:t>
      </w:r>
    </w:p>
    <w:p w14:paraId="0372F401" w14:textId="5C3C2B47" w:rsidR="004E575C" w:rsidRPr="004E575C" w:rsidRDefault="004E575C" w:rsidP="00D0747E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noProof/>
          <w:sz w:val="28"/>
          <w:szCs w:val="28"/>
          <w:lang w:val="ru-RU"/>
        </w:rPr>
        <w:drawing>
          <wp:inline distT="0" distB="0" distL="0" distR="0" wp14:anchorId="0B551A76" wp14:editId="1AAFA33E">
            <wp:extent cx="2425700" cy="90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BF7" w14:textId="77777777" w:rsidR="004E575C" w:rsidRDefault="004E575C" w:rsidP="00D0747E">
      <w:pPr>
        <w:pStyle w:val="a3"/>
        <w:spacing w:before="0" w:beforeAutospacing="0" w:after="0" w:afterAutospacing="0"/>
      </w:pPr>
      <w:r>
        <w:rPr>
          <w:sz w:val="28"/>
          <w:szCs w:val="28"/>
          <w:lang w:val="ru-RU"/>
        </w:rPr>
        <w:lastRenderedPageBreak/>
        <w:t xml:space="preserve">6. </w:t>
      </w:r>
      <w:r>
        <w:rPr>
          <w:rFonts w:ascii="TimesNewRomanPSMT" w:hAnsi="TimesNewRomanPSMT"/>
          <w:sz w:val="28"/>
          <w:szCs w:val="28"/>
        </w:rPr>
        <w:t xml:space="preserve">Если лицензионным договором предусматривается комбинированная форма оплаты, то сначала проводятся расчеты цены лицензии при платежах в форме роялти, затем производится перерасчет этой цены для формы паушального платежа, после чего выбирается размер первоначального платежа по лицензии. </w:t>
      </w:r>
    </w:p>
    <w:p w14:paraId="67C0DE04" w14:textId="224532CA" w:rsidR="004E575C" w:rsidRPr="004E575C" w:rsidRDefault="004E575C" w:rsidP="00D0747E">
      <w:pPr>
        <w:rPr>
          <w:rFonts w:ascii="Times New Roman" w:hAnsi="Times New Roman" w:cs="Times New Roman"/>
          <w:sz w:val="28"/>
          <w:szCs w:val="28"/>
        </w:rPr>
      </w:pPr>
    </w:p>
    <w:sectPr w:rsidR="004E575C" w:rsidRPr="004E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C5F7" w14:textId="77777777" w:rsidR="003A778E" w:rsidRDefault="003A778E" w:rsidP="00D0747E">
      <w:r>
        <w:separator/>
      </w:r>
    </w:p>
  </w:endnote>
  <w:endnote w:type="continuationSeparator" w:id="0">
    <w:p w14:paraId="10D8F15D" w14:textId="77777777" w:rsidR="003A778E" w:rsidRDefault="003A778E" w:rsidP="00D0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Droid Sans Devanagari">
    <w:altName w:val="Times New Roman"/>
    <w:panose1 w:val="020B0604020202020204"/>
    <w:charset w:val="00"/>
    <w:family w:val="auto"/>
    <w:pitch w:val="variable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9CD68" w14:textId="77777777" w:rsidR="003A778E" w:rsidRDefault="003A778E" w:rsidP="00D0747E">
      <w:r>
        <w:separator/>
      </w:r>
    </w:p>
  </w:footnote>
  <w:footnote w:type="continuationSeparator" w:id="0">
    <w:p w14:paraId="54EF3D36" w14:textId="77777777" w:rsidR="003A778E" w:rsidRDefault="003A778E" w:rsidP="00D07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68CB"/>
    <w:multiLevelType w:val="hybridMultilevel"/>
    <w:tmpl w:val="400C71A4"/>
    <w:lvl w:ilvl="0" w:tplc="0638EC5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C531C"/>
    <w:multiLevelType w:val="hybridMultilevel"/>
    <w:tmpl w:val="27126220"/>
    <w:lvl w:ilvl="0" w:tplc="59EC080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53EA"/>
    <w:multiLevelType w:val="hybridMultilevel"/>
    <w:tmpl w:val="7DC8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93914">
    <w:abstractNumId w:val="2"/>
  </w:num>
  <w:num w:numId="2" w16cid:durableId="700057178">
    <w:abstractNumId w:val="1"/>
  </w:num>
  <w:num w:numId="3" w16cid:durableId="78577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2B"/>
    <w:rsid w:val="003A778E"/>
    <w:rsid w:val="004E575C"/>
    <w:rsid w:val="006E11D2"/>
    <w:rsid w:val="00AF532B"/>
    <w:rsid w:val="00AF6A1A"/>
    <w:rsid w:val="00D0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9CF1B"/>
  <w15:chartTrackingRefBased/>
  <w15:docId w15:val="{55F477C4-E450-914B-89A3-281A4C0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53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D0747E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0747E"/>
  </w:style>
  <w:style w:type="paragraph" w:styleId="a6">
    <w:name w:val="footer"/>
    <w:basedOn w:val="a"/>
    <w:link w:val="a7"/>
    <w:uiPriority w:val="99"/>
    <w:unhideWhenUsed/>
    <w:rsid w:val="00D0747E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0747E"/>
  </w:style>
  <w:style w:type="paragraph" w:customStyle="1" w:styleId="Standard">
    <w:name w:val="Standard"/>
    <w:rsid w:val="00D0747E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Бабицкий Владимирович</dc:creator>
  <cp:keywords/>
  <dc:description/>
  <cp:lastModifiedBy>Андрей Гуринович</cp:lastModifiedBy>
  <cp:revision>2</cp:revision>
  <dcterms:created xsi:type="dcterms:W3CDTF">2021-11-24T11:27:00Z</dcterms:created>
  <dcterms:modified xsi:type="dcterms:W3CDTF">2022-04-07T11:26:00Z</dcterms:modified>
</cp:coreProperties>
</file>