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1800"/>
        <w:jc w:val="left"/>
      </w:pPr>
      <w:r>
        <w:rPr>
          <w:rFonts w:ascii="Calibri" w:cs="Calibri" w:eastAsia="Calibri" w:hAnsi="Calibri"/>
          <w:b/>
          <w:bCs/>
          <w:color w:val="B5793E"/>
          <w:spacing w:val="80"/>
          <w:sz w:val="22"/>
          <w:szCs w:val="22"/>
        </w:rPr>
        <w:t xml:space="preserve">BRAND FOUNDATION</w:t>
      </w:r>
    </w:p>
    <w:p>
      <w:pPr>
        <w:spacing w:after="100" w:before="100"/>
        <w:jc w:val="left"/>
      </w:pPr>
      <w:r>
        <w:rPr>
          <w:rFonts w:ascii="Georgia" w:cs="Georgia" w:eastAsia="Georgia" w:hAnsi="Georgia"/>
          <w:b/>
          <w:bCs/>
          <w:color w:val="1E3A2A"/>
          <w:sz w:val="84"/>
          <w:szCs w:val="84"/>
        </w:rPr>
        <w:t xml:space="preserve">Stable OS — Working Title</w:t>
      </w:r>
    </w:p>
    <w:p>
      <w:pPr>
        <w:spacing w:after="800" w:before="100"/>
        <w:jc w:val="left"/>
      </w:pPr>
      <w:r>
        <w:rPr>
          <w:rFonts w:ascii="Georgia" w:cs="Georgia" w:eastAsia="Georgia" w:hAnsi="Georgia"/>
          <w:i/>
          <w:iCs/>
          <w:color w:val="3F3527"/>
          <w:sz w:val="28"/>
          <w:szCs w:val="28"/>
        </w:rPr>
        <w:t xml:space="preserve">Naming, positioning, voice, and visual identity for an EU-native equestrian SaaS.</w:t>
      </w:r>
    </w:p>
    <w:p>
      <w:pPr>
        <w:spacing w:after="80" w:before="800"/>
        <w:jc w:val="left"/>
      </w:pPr>
      <w:r>
        <w:rPr>
          <w:rFonts w:ascii="Calibri" w:cs="Calibri" w:eastAsia="Calibri" w:hAnsi="Calibri"/>
          <w:color w:val="6E6760"/>
          <w:sz w:val="18"/>
          <w:szCs w:val="18"/>
        </w:rPr>
        <w:t xml:space="preserve">Prepared for</w:t>
      </w:r>
    </w:p>
    <w:p>
      <w:pPr>
        <w:spacing w:after="80"/>
      </w:pPr>
      <w:r>
        <w:rPr>
          <w:rFonts w:ascii="Calibri" w:cs="Calibri" w:eastAsia="Calibri" w:hAnsi="Calibri"/>
          <w:b/>
          <w:bCs/>
          <w:color w:val="1B1B1B"/>
          <w:sz w:val="24"/>
          <w:szCs w:val="24"/>
        </w:rPr>
        <w:t xml:space="preserve">Andreja Adaranda</w:t>
      </w:r>
    </w:p>
    <w:p>
      <w:pPr>
        <w:spacing w:after="80" w:before="180"/>
      </w:pPr>
      <w:r>
        <w:rPr>
          <w:rFonts w:ascii="Calibri" w:cs="Calibri" w:eastAsia="Calibri" w:hAnsi="Calibri"/>
          <w:color w:val="6E6760"/>
          <w:sz w:val="18"/>
          <w:szCs w:val="18"/>
        </w:rPr>
        <w:t xml:space="preserve">Version 1.0 — April 2026</w:t>
      </w:r>
    </w:p>
    <w:p>
      <w:r>
        <w:br w:type="page"/>
      </w:r>
    </w:p>
    <w:p>
      <w:pPr>
        <w:pStyle w:val="Heading1"/>
        <w:spacing w:after="200" w:before="360"/>
      </w:pPr>
      <w:r>
        <w:rPr>
          <w:rFonts w:ascii="Georgia" w:cs="Georgia" w:eastAsia="Georgia" w:hAnsi="Georgia"/>
          <w:b/>
          <w:bCs/>
          <w:color w:val="1E3A2A"/>
          <w:sz w:val="44"/>
          <w:szCs w:val="44"/>
        </w:rPr>
        <w:t xml:space="preserve">1. The Strategic Frame</w:t>
      </w:r>
    </w:p>
    <w:p>
      <w:pPr>
        <w:spacing w:after="120" w:before="0" w:line="320"/>
        <w:jc w:val="left"/>
      </w:pPr>
      <w:r>
        <w:rPr>
          <w:rFonts w:ascii="Calibri" w:cs="Calibri" w:eastAsia="Calibri" w:hAnsi="Calibri"/>
          <w:b w:val="false"/>
          <w:bCs w:val="false"/>
          <w:i w:val="false"/>
          <w:iCs w:val="false"/>
          <w:color w:val="1B1B1B"/>
          <w:sz w:val="22"/>
          <w:szCs w:val="22"/>
        </w:rPr>
        <w:t xml:space="preserve">Before naming or designing anything, fix the brand's job in one sentence — and do not let the rest of this document drift from it.</w:t>
      </w:r>
    </w:p>
    <w:p>
      <w:pPr>
        <w:pBdr>
          <w:left w:val="single" w:color="B5793E" w:sz="18" w:space="12"/>
        </w:pBdr>
        <w:spacing w:after="200" w:before="100" w:line="360"/>
        <w:ind w:left="480"/>
      </w:pPr>
      <w:r>
        <w:rPr>
          <w:rFonts w:ascii="Georgia" w:cs="Georgia" w:eastAsia="Georgia" w:hAnsi="Georgia"/>
          <w:i/>
          <w:iCs/>
          <w:color w:val="3F3527"/>
          <w:sz w:val="24"/>
          <w:szCs w:val="24"/>
        </w:rPr>
        <w:t xml:space="preserve">Stable OS is the only stable management system built in Europe, by stable people, that puts horse welfare on the same screen as the schedule and the invoice.</w:t>
      </w:r>
    </w:p>
    <w:p>
      <w:pPr>
        <w:pStyle w:val="Heading3"/>
        <w:spacing w:after="100" w:before="200"/>
      </w:pPr>
      <w:r>
        <w:rPr>
          <w:rFonts w:ascii="Calibri" w:cs="Calibri" w:eastAsia="Calibri" w:hAnsi="Calibri"/>
          <w:b/>
          <w:bCs/>
          <w:color w:val="1E3A2A"/>
          <w:sz w:val="26"/>
          <w:szCs w:val="26"/>
        </w:rPr>
        <w:t xml:space="preserve">Why this matters before you pick a name</w:t>
      </w:r>
    </w:p>
    <w:p>
      <w:pPr>
        <w:spacing w:after="120" w:before="0" w:line="320"/>
        <w:jc w:val="left"/>
      </w:pPr>
      <w:r>
        <w:rPr>
          <w:rFonts w:ascii="Calibri" w:cs="Calibri" w:eastAsia="Calibri" w:hAnsi="Calibri"/>
          <w:b w:val="false"/>
          <w:bCs w:val="false"/>
          <w:i w:val="false"/>
          <w:iCs w:val="false"/>
          <w:color w:val="1B1B1B"/>
          <w:sz w:val="22"/>
          <w:szCs w:val="22"/>
        </w:rPr>
        <w:t xml:space="preserve">Every name on the next page either reinforces this position or fights it. A wrong name (cute, generic, or US-coded) costs €0 today and costs the brand for the next five years. A name that signals welfare-first, European, and operationally serious does the marketing for free, every time someone reads it.</w:t>
      </w:r>
    </w:p>
    <w:p>
      <w:pPr>
        <w:pStyle w:val="Heading3"/>
        <w:spacing w:after="100" w:before="200"/>
      </w:pPr>
      <w:r>
        <w:rPr>
          <w:rFonts w:ascii="Calibri" w:cs="Calibri" w:eastAsia="Calibri" w:hAnsi="Calibri"/>
          <w:b/>
          <w:bCs/>
          <w:color w:val="1E3A2A"/>
          <w:sz w:val="26"/>
          <w:szCs w:val="26"/>
        </w:rPr>
        <w:t xml:space="preserve">The three brand jobs</w:t>
      </w:r>
    </w:p>
    <w:p>
      <w:pPr>
        <w:pStyle w:val="ListParagraph"/>
        <w:numPr>
          <w:ilvl w:val="0"/>
          <w:numId w:val="2"/>
        </w:numPr>
        <w:spacing w:after="80" w:line="300"/>
      </w:pPr>
      <w:r>
        <w:rPr>
          <w:rFonts w:ascii="Calibri" w:cs="Calibri" w:eastAsia="Calibri" w:hAnsi="Calibri"/>
          <w:color w:val="1B1B1B"/>
          <w:sz w:val="22"/>
          <w:szCs w:val="22"/>
        </w:rPr>
        <w:t xml:space="preserve">Tell a stable owner in 5 seconds: this is built for me, not for a US ranch or a German enterprise yard.</w:t>
      </w:r>
    </w:p>
    <w:p>
      <w:pPr>
        <w:pStyle w:val="ListParagraph"/>
        <w:numPr>
          <w:ilvl w:val="0"/>
          <w:numId w:val="2"/>
        </w:numPr>
        <w:spacing w:after="80" w:line="300"/>
      </w:pPr>
      <w:r>
        <w:rPr>
          <w:rFonts w:ascii="Calibri" w:cs="Calibri" w:eastAsia="Calibri" w:hAnsi="Calibri"/>
          <w:color w:val="1B1B1B"/>
          <w:sz w:val="22"/>
          <w:szCs w:val="22"/>
        </w:rPr>
        <w:t xml:space="preserve">Make a trainer in the arena open the app on their phone instead of WhatsApp.</w:t>
      </w:r>
    </w:p>
    <w:p>
      <w:pPr>
        <w:pStyle w:val="ListParagraph"/>
        <w:numPr>
          <w:ilvl w:val="0"/>
          <w:numId w:val="2"/>
        </w:numPr>
        <w:spacing w:after="80" w:line="300"/>
      </w:pPr>
      <w:r>
        <w:rPr>
          <w:rFonts w:ascii="Calibri" w:cs="Calibri" w:eastAsia="Calibri" w:hAnsi="Calibri"/>
          <w:color w:val="1B1B1B"/>
          <w:sz w:val="22"/>
          <w:szCs w:val="22"/>
        </w:rPr>
        <w:t xml:space="preserve">Make a horse owner forwarding an invoice feel like the stable they board at is run properly.</w:t>
      </w:r>
    </w:p>
    <w:p>
      <w:pPr>
        <w:pBdr>
          <w:bottom w:val="single" w:color="C9BFAE" w:sz="6" w:space="4"/>
        </w:pBdr>
        <w:spacing w:after="200" w:before="200"/>
      </w:pPr>
      <w:r>
        <w:t xml:space="preserve"/>
      </w:r>
    </w:p>
    <w:p>
      <w:pPr>
        <w:pStyle w:val="Heading1"/>
        <w:spacing w:after="200" w:before="360"/>
      </w:pPr>
      <w:r>
        <w:rPr>
          <w:rFonts w:ascii="Georgia" w:cs="Georgia" w:eastAsia="Georgia" w:hAnsi="Georgia"/>
          <w:b/>
          <w:bCs/>
          <w:color w:val="1E3A2A"/>
          <w:sz w:val="44"/>
          <w:szCs w:val="44"/>
        </w:rPr>
        <w:t xml:space="preserve">2. Naming — 12 Candidates</w:t>
      </w:r>
    </w:p>
    <w:p>
      <w:pPr>
        <w:spacing w:after="120" w:before="0" w:line="320"/>
        <w:jc w:val="left"/>
      </w:pPr>
      <w:r>
        <w:rPr>
          <w:rFonts w:ascii="Calibri" w:cs="Calibri" w:eastAsia="Calibri" w:hAnsi="Calibri"/>
          <w:b w:val="false"/>
          <w:bCs w:val="false"/>
          <w:i w:val="false"/>
          <w:iCs w:val="false"/>
          <w:color w:val="1B1B1B"/>
          <w:sz w:val="22"/>
          <w:szCs w:val="22"/>
        </w:rPr>
        <w:t xml:space="preserve">Brief: 1–2 syllables, EN-first, pronounceable in LT/PL/DE, equestrian-coded but not literal, ownable as a domain and trademark, and capable of carrying a category for ten years. Eliminated upfront: Stallion (gendered, aggressive), Foaler (too breeding-specific), EquiSomething (every competitor uses it), and any compound including the word "Smart".</w:t>
      </w:r>
    </w:p>
    <w:p>
      <w:pPr>
        <w:pStyle w:val="Heading2"/>
        <w:spacing w:after="140" w:before="280"/>
      </w:pPr>
      <w:r>
        <w:rPr>
          <w:rFonts w:ascii="Georgia" w:cs="Georgia" w:eastAsia="Georgia" w:hAnsi="Georgia"/>
          <w:b/>
          <w:bCs/>
          <w:color w:val="1E3A2A"/>
          <w:sz w:val="32"/>
          <w:szCs w:val="32"/>
        </w:rPr>
        <w:t xml:space="preserve">Top recommendation</w:t>
      </w:r>
    </w:p>
    <w:p>
      <w:pPr>
        <w:pStyle w:val="Heading3"/>
        <w:spacing w:after="100" w:before="200"/>
      </w:pPr>
      <w:r>
        <w:rPr>
          <w:rFonts w:ascii="Calibri" w:cs="Calibri" w:eastAsia="Calibri" w:hAnsi="Calibri"/>
          <w:b/>
          <w:bCs/>
          <w:color w:val="1E3A2A"/>
          <w:sz w:val="26"/>
          <w:szCs w:val="26"/>
        </w:rPr>
        <w:t xml:space="preserve">01. Hoofbeat</w:t>
      </w:r>
    </w:p>
    <w:p>
      <w:pPr>
        <w:spacing w:after="120" w:before="0" w:line="320"/>
        <w:jc w:val="left"/>
      </w:pPr>
      <w:r>
        <w:rPr>
          <w:rFonts w:ascii="Calibri" w:cs="Calibri" w:eastAsia="Calibri" w:hAnsi="Calibri"/>
          <w:b w:val="false"/>
          <w:bCs w:val="false"/>
          <w:i w:val="false"/>
          <w:iCs w:val="false"/>
          <w:color w:val="1B1B1B"/>
          <w:sz w:val="22"/>
          <w:szCs w:val="22"/>
        </w:rPr>
        <w:t xml:space="preserve">The system that keeps the rhythm of the yard. Two syllables, four letters of consonant attack, owns a clear sonic identity. "Hoofbeat" is the sound a stable makes when it is running well — the operational pulse the product is selling. EN-first but readable in LT/PL/DE without translation. Easy to verb ("we run on Hoofbeat"). Likely available as .com, .eu, and .lt.</w:t>
      </w:r>
    </w:p>
    <w:p>
      <w:pPr>
        <w:spacing w:after="120" w:before="0" w:line="320"/>
        <w:jc w:val="left"/>
      </w:pPr>
      <w:r>
        <w:rPr>
          <w:rFonts w:ascii="Calibri" w:cs="Calibri" w:eastAsia="Calibri" w:hAnsi="Calibri"/>
          <w:b w:val="false"/>
          <w:bCs w:val="false"/>
          <w:i/>
          <w:iCs/>
          <w:color w:val="1B1B1B"/>
          <w:sz w:val="22"/>
          <w:szCs w:val="22"/>
        </w:rPr>
        <w:t xml:space="preserve">Why it wins: it is the only candidate that names the product's actual job (operational rhythm) instead of a piece of equipment. Equine Genie sells records. Stablebuzz sells noise. Hoofbeat sells the heartbeat of a working yard.</w:t>
      </w:r>
    </w:p>
    <w:p>
      <w:pPr>
        <w:spacing w:after="120" w:before="0" w:line="320"/>
        <w:jc w:val="left"/>
      </w:pPr>
      <w:r>
        <w:rPr>
          <w:rFonts w:ascii="Calibri" w:cs="Calibri" w:eastAsia="Calibri" w:hAnsi="Calibri"/>
          <w:b w:val="false"/>
          <w:bCs w:val="false"/>
          <w:i/>
          <w:iCs/>
          <w:color w:val="B5793E"/>
          <w:sz w:val="22"/>
          <w:szCs w:val="22"/>
        </w:rPr>
        <w:t xml:space="preserve">Tagline pairing: Hoofbeat — the rhythm of a yard that runs.</w:t>
      </w:r>
    </w:p>
    <w:p>
      <w:pPr>
        <w:pStyle w:val="Heading2"/>
        <w:spacing w:after="140" w:before="280"/>
      </w:pPr>
      <w:r>
        <w:rPr>
          <w:rFonts w:ascii="Georgia" w:cs="Georgia" w:eastAsia="Georgia" w:hAnsi="Georgia"/>
          <w:b/>
          <w:bCs/>
          <w:color w:val="1E3A2A"/>
          <w:sz w:val="32"/>
          <w:szCs w:val="32"/>
        </w:rPr>
        <w:t xml:space="preserve">Strong alternatives (8)</w:t>
      </w:r>
    </w:p>
    <w:p>
      <w:pPr>
        <w:pStyle w:val="Heading3"/>
        <w:spacing w:after="100" w:before="200"/>
      </w:pPr>
      <w:r>
        <w:rPr>
          <w:rFonts w:ascii="Calibri" w:cs="Calibri" w:eastAsia="Calibri" w:hAnsi="Calibri"/>
          <w:b/>
          <w:bCs/>
          <w:color w:val="1E3A2A"/>
          <w:sz w:val="26"/>
          <w:szCs w:val="26"/>
        </w:rPr>
        <w:t xml:space="preserve">02. Cantor</w:t>
      </w:r>
    </w:p>
    <w:p>
      <w:pPr>
        <w:spacing w:after="120" w:before="0" w:line="320"/>
        <w:jc w:val="left"/>
      </w:pPr>
      <w:r>
        <w:rPr>
          <w:rFonts w:ascii="Calibri" w:cs="Calibri" w:eastAsia="Calibri" w:hAnsi="Calibri"/>
          <w:b w:val="false"/>
          <w:bCs w:val="false"/>
          <w:i w:val="false"/>
          <w:iCs w:val="false"/>
          <w:color w:val="1B1B1B"/>
          <w:sz w:val="22"/>
          <w:szCs w:val="22"/>
        </w:rPr>
        <w:t xml:space="preserve">A canter is the gait between trot and gallop — controlled, fast, sustainable. The brand promise of running a stable at scale without losing welfare. Premium in feel, ownable, short. Risk: religious connotation (cantor as singer in a synagogue) — minor in equestrian context, but check trademarks before commit.</w:t>
      </w:r>
    </w:p>
    <w:p>
      <w:pPr>
        <w:pStyle w:val="Heading3"/>
        <w:spacing w:after="100" w:before="200"/>
      </w:pPr>
      <w:r>
        <w:rPr>
          <w:rFonts w:ascii="Calibri" w:cs="Calibri" w:eastAsia="Calibri" w:hAnsi="Calibri"/>
          <w:b/>
          <w:bCs/>
          <w:color w:val="1E3A2A"/>
          <w:sz w:val="26"/>
          <w:szCs w:val="26"/>
        </w:rPr>
        <w:t xml:space="preserve">03. Withers</w:t>
      </w:r>
    </w:p>
    <w:p>
      <w:pPr>
        <w:spacing w:after="120" w:before="0" w:line="320"/>
        <w:jc w:val="left"/>
      </w:pPr>
      <w:r>
        <w:rPr>
          <w:rFonts w:ascii="Calibri" w:cs="Calibri" w:eastAsia="Calibri" w:hAnsi="Calibri"/>
          <w:b w:val="false"/>
          <w:bCs w:val="false"/>
          <w:i w:val="false"/>
          <w:iCs w:val="false"/>
          <w:color w:val="1B1B1B"/>
          <w:sz w:val="22"/>
          <w:szCs w:val="22"/>
        </w:rPr>
        <w:t xml:space="preserve">Anatomical term for the ridge at the base of a horse's neck — where everything is measured from. Distinctive, premium, ownable. Slightly insider — non-equestrian buyers will not get it on first read. That is a feature, not a bug, in this niche: the brand signals "we are one of you" to actual stable people.</w:t>
      </w:r>
    </w:p>
    <w:p>
      <w:pPr>
        <w:pStyle w:val="Heading3"/>
        <w:spacing w:after="100" w:before="200"/>
      </w:pPr>
      <w:r>
        <w:rPr>
          <w:rFonts w:ascii="Calibri" w:cs="Calibri" w:eastAsia="Calibri" w:hAnsi="Calibri"/>
          <w:b/>
          <w:bCs/>
          <w:color w:val="1E3A2A"/>
          <w:sz w:val="26"/>
          <w:szCs w:val="26"/>
        </w:rPr>
        <w:t xml:space="preserve">04. Stirrup</w:t>
      </w:r>
    </w:p>
    <w:p>
      <w:pPr>
        <w:spacing w:after="120" w:before="0" w:line="320"/>
        <w:jc w:val="left"/>
      </w:pPr>
      <w:r>
        <w:rPr>
          <w:rFonts w:ascii="Calibri" w:cs="Calibri" w:eastAsia="Calibri" w:hAnsi="Calibri"/>
          <w:b w:val="false"/>
          <w:bCs w:val="false"/>
          <w:i w:val="false"/>
          <w:iCs w:val="false"/>
          <w:color w:val="1B1B1B"/>
          <w:sz w:val="22"/>
          <w:szCs w:val="22"/>
        </w:rPr>
        <w:t xml:space="preserve">Three syllables; the foothold that lets you mount the day. Warm, equestrian-coded, no trademark crowding in SaaS. Slight risk of being read as too literal. Best used as Stirrup. (with the period) for visual weight.</w:t>
      </w:r>
    </w:p>
    <w:p>
      <w:pPr>
        <w:pStyle w:val="Heading3"/>
        <w:spacing w:after="100" w:before="200"/>
      </w:pPr>
      <w:r>
        <w:rPr>
          <w:rFonts w:ascii="Calibri" w:cs="Calibri" w:eastAsia="Calibri" w:hAnsi="Calibri"/>
          <w:b/>
          <w:bCs/>
          <w:color w:val="1E3A2A"/>
          <w:sz w:val="26"/>
          <w:szCs w:val="26"/>
        </w:rPr>
        <w:t xml:space="preserve">05. Halter</w:t>
      </w:r>
    </w:p>
    <w:p>
      <w:pPr>
        <w:spacing w:after="120" w:before="0" w:line="320"/>
        <w:jc w:val="left"/>
      </w:pPr>
      <w:r>
        <w:rPr>
          <w:rFonts w:ascii="Calibri" w:cs="Calibri" w:eastAsia="Calibri" w:hAnsi="Calibri"/>
          <w:b w:val="false"/>
          <w:bCs w:val="false"/>
          <w:i w:val="false"/>
          <w:iCs w:val="false"/>
          <w:color w:val="1B1B1B"/>
          <w:sz w:val="22"/>
          <w:szCs w:val="22"/>
        </w:rPr>
        <w:t xml:space="preserve">Equestrian gear; control without coercion. Soft on the ear, premium, brandable. Risk: shares its name with a brand of pickup-truck windshields and a US livestock products company — defensible in our niche but worth a search.</w:t>
      </w:r>
    </w:p>
    <w:p>
      <w:pPr>
        <w:pStyle w:val="Heading3"/>
        <w:spacing w:after="100" w:before="200"/>
      </w:pPr>
      <w:r>
        <w:rPr>
          <w:rFonts w:ascii="Calibri" w:cs="Calibri" w:eastAsia="Calibri" w:hAnsi="Calibri"/>
          <w:b/>
          <w:bCs/>
          <w:color w:val="1E3A2A"/>
          <w:sz w:val="26"/>
          <w:szCs w:val="26"/>
        </w:rPr>
        <w:t xml:space="preserve">06. Manège</w:t>
      </w:r>
    </w:p>
    <w:p>
      <w:pPr>
        <w:spacing w:after="120" w:before="0" w:line="320"/>
        <w:jc w:val="left"/>
      </w:pPr>
      <w:r>
        <w:rPr>
          <w:rFonts w:ascii="Calibri" w:cs="Calibri" w:eastAsia="Calibri" w:hAnsi="Calibri"/>
          <w:b w:val="false"/>
          <w:bCs w:val="false"/>
          <w:i w:val="false"/>
          <w:iCs w:val="false"/>
          <w:color w:val="1B1B1B"/>
          <w:sz w:val="22"/>
          <w:szCs w:val="22"/>
        </w:rPr>
        <w:t xml:space="preserve">French/equestrian for the riding arena. The most obviously European of the candidates. Adds a continental, premium tone. Risk: the diacritic costs you in product UX (forms, URLs, search). Use only if willing to live with manage.eu / manege.app domains and let brand people own the È.</w:t>
      </w:r>
    </w:p>
    <w:p>
      <w:pPr>
        <w:pStyle w:val="Heading3"/>
        <w:spacing w:after="100" w:before="200"/>
      </w:pPr>
      <w:r>
        <w:rPr>
          <w:rFonts w:ascii="Calibri" w:cs="Calibri" w:eastAsia="Calibri" w:hAnsi="Calibri"/>
          <w:b/>
          <w:bCs/>
          <w:color w:val="1E3A2A"/>
          <w:sz w:val="26"/>
          <w:szCs w:val="26"/>
        </w:rPr>
        <w:t xml:space="preserve">07. Mane</w:t>
      </w:r>
    </w:p>
    <w:p>
      <w:pPr>
        <w:spacing w:after="120" w:before="0" w:line="320"/>
        <w:jc w:val="left"/>
      </w:pPr>
      <w:r>
        <w:rPr>
          <w:rFonts w:ascii="Calibri" w:cs="Calibri" w:eastAsia="Calibri" w:hAnsi="Calibri"/>
          <w:b w:val="false"/>
          <w:bCs w:val="false"/>
          <w:i w:val="false"/>
          <w:iCs w:val="false"/>
          <w:color w:val="1B1B1B"/>
          <w:sz w:val="22"/>
          <w:szCs w:val="22"/>
        </w:rPr>
        <w:t xml:space="preserve">Single syllable. Doubles as "the main thing." Memorable, ownable, conversational. Risk: shorter words are harder to defend in trademark and search; expect to pay up for a domain.</w:t>
      </w:r>
    </w:p>
    <w:p>
      <w:pPr>
        <w:pStyle w:val="Heading3"/>
        <w:spacing w:after="100" w:before="200"/>
      </w:pPr>
      <w:r>
        <w:rPr>
          <w:rFonts w:ascii="Calibri" w:cs="Calibri" w:eastAsia="Calibri" w:hAnsi="Calibri"/>
          <w:b/>
          <w:bCs/>
          <w:color w:val="1E3A2A"/>
          <w:sz w:val="26"/>
          <w:szCs w:val="26"/>
        </w:rPr>
        <w:t xml:space="preserve">08. Bridle</w:t>
      </w:r>
    </w:p>
    <w:p>
      <w:pPr>
        <w:spacing w:after="120" w:before="0" w:line="320"/>
        <w:jc w:val="left"/>
      </w:pPr>
      <w:r>
        <w:rPr>
          <w:rFonts w:ascii="Calibri" w:cs="Calibri" w:eastAsia="Calibri" w:hAnsi="Calibri"/>
          <w:b w:val="false"/>
          <w:bCs w:val="false"/>
          <w:i w:val="false"/>
          <w:iCs w:val="false"/>
          <w:color w:val="1B1B1B"/>
          <w:sz w:val="22"/>
          <w:szCs w:val="22"/>
        </w:rPr>
        <w:t xml:space="preserve">Equestrian, premium, controlled. Strong as a verb ("bridle your back office"). Risk: connotation of restraint, which can read negatively in marketing copy unless framed deliberately.</w:t>
      </w:r>
    </w:p>
    <w:p>
      <w:pPr>
        <w:pStyle w:val="Heading3"/>
        <w:spacing w:after="100" w:before="200"/>
      </w:pPr>
      <w:r>
        <w:rPr>
          <w:rFonts w:ascii="Calibri" w:cs="Calibri" w:eastAsia="Calibri" w:hAnsi="Calibri"/>
          <w:b/>
          <w:bCs/>
          <w:color w:val="1E3A2A"/>
          <w:sz w:val="26"/>
          <w:szCs w:val="26"/>
        </w:rPr>
        <w:t xml:space="preserve">09. Yardly</w:t>
      </w:r>
    </w:p>
    <w:p>
      <w:pPr>
        <w:spacing w:after="120" w:before="0" w:line="320"/>
        <w:jc w:val="left"/>
      </w:pPr>
      <w:r>
        <w:rPr>
          <w:rFonts w:ascii="Calibri" w:cs="Calibri" w:eastAsia="Calibri" w:hAnsi="Calibri"/>
          <w:b w:val="false"/>
          <w:bCs w:val="false"/>
          <w:i w:val="false"/>
          <w:iCs w:val="false"/>
          <w:color w:val="1B1B1B"/>
          <w:sz w:val="22"/>
          <w:szCs w:val="22"/>
        </w:rPr>
        <w:t xml:space="preserve">"Yard" + the modern SaaS "-ly" suffix (Bitly, Calendly, Loomly). Most modern-tech feel of the set. Trades off premium for approachable. Best if Stable OS positions cheaper than expected, not pricier.</w:t>
      </w:r>
    </w:p>
    <w:p>
      <w:pPr>
        <w:pStyle w:val="Heading2"/>
        <w:spacing w:after="140" w:before="280"/>
      </w:pPr>
      <w:r>
        <w:rPr>
          <w:rFonts w:ascii="Georgia" w:cs="Georgia" w:eastAsia="Georgia" w:hAnsi="Georgia"/>
          <w:b/>
          <w:bCs/>
          <w:color w:val="1E3A2A"/>
          <w:sz w:val="32"/>
          <w:szCs w:val="32"/>
        </w:rPr>
        <w:t xml:space="preserve">Honorable mentions (3) — pick if domain and trademark force a pivot</w:t>
      </w:r>
    </w:p>
    <w:p>
      <w:pPr>
        <w:pStyle w:val="Heading3"/>
        <w:spacing w:after="100" w:before="200"/>
      </w:pPr>
      <w:r>
        <w:rPr>
          <w:rFonts w:ascii="Calibri" w:cs="Calibri" w:eastAsia="Calibri" w:hAnsi="Calibri"/>
          <w:b/>
          <w:bCs/>
          <w:color w:val="1E3A2A"/>
          <w:sz w:val="26"/>
          <w:szCs w:val="26"/>
        </w:rPr>
        <w:t xml:space="preserve">10. Foddr</w:t>
      </w:r>
    </w:p>
    <w:p>
      <w:pPr>
        <w:spacing w:after="120" w:before="0" w:line="320"/>
        <w:jc w:val="left"/>
      </w:pPr>
      <w:r>
        <w:rPr>
          <w:rFonts w:ascii="Calibri" w:cs="Calibri" w:eastAsia="Calibri" w:hAnsi="Calibri"/>
          <w:b w:val="false"/>
          <w:bCs w:val="false"/>
          <w:i w:val="false"/>
          <w:iCs w:val="false"/>
          <w:color w:val="1B1B1B"/>
          <w:sz w:val="22"/>
          <w:szCs w:val="22"/>
        </w:rPr>
        <w:t xml:space="preserve">Vowel-dropped "fodder." Distinctive, available, modern. Risk: looks like a 2014 startup.</w:t>
      </w:r>
    </w:p>
    <w:p>
      <w:pPr>
        <w:pStyle w:val="Heading3"/>
        <w:spacing w:after="100" w:before="200"/>
      </w:pPr>
      <w:r>
        <w:rPr>
          <w:rFonts w:ascii="Calibri" w:cs="Calibri" w:eastAsia="Calibri" w:hAnsi="Calibri"/>
          <w:b/>
          <w:bCs/>
          <w:color w:val="1E3A2A"/>
          <w:sz w:val="26"/>
          <w:szCs w:val="26"/>
        </w:rPr>
        <w:t xml:space="preserve">11. Equa</w:t>
      </w:r>
    </w:p>
    <w:p>
      <w:pPr>
        <w:spacing w:after="120" w:before="0" w:line="320"/>
        <w:jc w:val="left"/>
      </w:pPr>
      <w:r>
        <w:rPr>
          <w:rFonts w:ascii="Calibri" w:cs="Calibri" w:eastAsia="Calibri" w:hAnsi="Calibri"/>
          <w:b w:val="false"/>
          <w:bCs w:val="false"/>
          <w:i w:val="false"/>
          <w:iCs w:val="false"/>
          <w:color w:val="1B1B1B"/>
          <w:sz w:val="22"/>
          <w:szCs w:val="22"/>
        </w:rPr>
        <w:t xml:space="preserve">Latin/Romance root for horse, feminine ending. Premium, Italian-furniture feel. Risk: every other equestrian brand starts with Eq-.</w:t>
      </w:r>
    </w:p>
    <w:p>
      <w:pPr>
        <w:pStyle w:val="Heading3"/>
        <w:spacing w:after="100" w:before="200"/>
      </w:pPr>
      <w:r>
        <w:rPr>
          <w:rFonts w:ascii="Calibri" w:cs="Calibri" w:eastAsia="Calibri" w:hAnsi="Calibri"/>
          <w:b/>
          <w:bCs/>
          <w:color w:val="1E3A2A"/>
          <w:sz w:val="26"/>
          <w:szCs w:val="26"/>
        </w:rPr>
        <w:t xml:space="preserve">12. Paddock</w:t>
      </w:r>
    </w:p>
    <w:p>
      <w:pPr>
        <w:spacing w:after="120" w:before="0" w:line="320"/>
        <w:jc w:val="left"/>
      </w:pPr>
      <w:r>
        <w:rPr>
          <w:rFonts w:ascii="Calibri" w:cs="Calibri" w:eastAsia="Calibri" w:hAnsi="Calibri"/>
          <w:b w:val="false"/>
          <w:bCs w:val="false"/>
          <w:i w:val="false"/>
          <w:iCs w:val="false"/>
          <w:color w:val="1B1B1B"/>
          <w:sz w:val="22"/>
          <w:szCs w:val="22"/>
        </w:rPr>
        <w:t xml:space="preserve">Place-based, descriptive, warm. Risk: mostly British-English; flat in pronunciation across LT/PL/DE.</w:t>
      </w:r>
    </w:p>
    <w:p>
      <w:pPr>
        <w:pStyle w:val="Heading2"/>
        <w:spacing w:after="140" w:before="280"/>
      </w:pPr>
      <w:r>
        <w:rPr>
          <w:rFonts w:ascii="Georgia" w:cs="Georgia" w:eastAsia="Georgia" w:hAnsi="Georgia"/>
          <w:b/>
          <w:bCs/>
          <w:color w:val="1E3A2A"/>
          <w:sz w:val="32"/>
          <w:szCs w:val="32"/>
        </w:rPr>
        <w:t xml:space="preserve">How to choose between the top three</w:t>
      </w:r>
    </w:p>
    <w:p>
      <w:pPr>
        <w:spacing w:after="120" w:before="0" w:line="320"/>
        <w:jc w:val="left"/>
      </w:pPr>
      <w:r>
        <w:rPr>
          <w:rFonts w:ascii="Calibri" w:cs="Calibri" w:eastAsia="Calibri" w:hAnsi="Calibri"/>
          <w:b w:val="false"/>
          <w:bCs w:val="false"/>
          <w:i w:val="false"/>
          <w:iCs w:val="false"/>
          <w:color w:val="1B1B1B"/>
          <w:sz w:val="22"/>
          <w:szCs w:val="22"/>
        </w:rPr>
        <w:t xml:space="preserve">Run all three (Hoofbeat, Cantor, Withers) through the same five-test checklist before committing:</w:t>
      </w:r>
    </w:p>
    <w:p>
      <w:pPr>
        <w:pStyle w:val="ListParagraph"/>
        <w:numPr>
          <w:ilvl w:val="0"/>
          <w:numId w:val="3"/>
        </w:numPr>
        <w:spacing w:after="80" w:line="300"/>
      </w:pPr>
      <w:r>
        <w:rPr>
          <w:rFonts w:ascii="Calibri" w:cs="Calibri" w:eastAsia="Calibri" w:hAnsi="Calibri"/>
          <w:color w:val="1B1B1B"/>
          <w:sz w:val="22"/>
          <w:szCs w:val="22"/>
        </w:rPr>
        <w:t xml:space="preserve">Domain test: .com + .eu + .lt available, or buyable under €1,500 — within 24 hours.</w:t>
      </w:r>
    </w:p>
    <w:p>
      <w:pPr>
        <w:pStyle w:val="ListParagraph"/>
        <w:numPr>
          <w:ilvl w:val="0"/>
          <w:numId w:val="3"/>
        </w:numPr>
        <w:spacing w:after="80" w:line="300"/>
      </w:pPr>
      <w:r>
        <w:rPr>
          <w:rFonts w:ascii="Calibri" w:cs="Calibri" w:eastAsia="Calibri" w:hAnsi="Calibri"/>
          <w:color w:val="1B1B1B"/>
          <w:sz w:val="22"/>
          <w:szCs w:val="22"/>
        </w:rPr>
        <w:t xml:space="preserve">Trademark test: WIPO + EUIPO + USPTO clear in classes 9 (software), 35 (advertising), 42 (SaaS). LT-VPB clear.</w:t>
      </w:r>
    </w:p>
    <w:p>
      <w:pPr>
        <w:pStyle w:val="ListParagraph"/>
        <w:numPr>
          <w:ilvl w:val="0"/>
          <w:numId w:val="3"/>
        </w:numPr>
        <w:spacing w:after="80" w:line="300"/>
      </w:pPr>
      <w:r>
        <w:rPr>
          <w:rFonts w:ascii="Calibri" w:cs="Calibri" w:eastAsia="Calibri" w:hAnsi="Calibri"/>
          <w:color w:val="1B1B1B"/>
          <w:sz w:val="22"/>
          <w:szCs w:val="22"/>
        </w:rPr>
        <w:t xml:space="preserve">Phone test: read the name to three Lithuanian and two Polish stable owners over the phone. Do they spell it back correctly on the first try?</w:t>
      </w:r>
    </w:p>
    <w:p>
      <w:pPr>
        <w:pStyle w:val="ListParagraph"/>
        <w:numPr>
          <w:ilvl w:val="0"/>
          <w:numId w:val="3"/>
        </w:numPr>
        <w:spacing w:after="80" w:line="300"/>
      </w:pPr>
      <w:r>
        <w:rPr>
          <w:rFonts w:ascii="Calibri" w:cs="Calibri" w:eastAsia="Calibri" w:hAnsi="Calibri"/>
          <w:color w:val="1B1B1B"/>
          <w:sz w:val="22"/>
          <w:szCs w:val="22"/>
        </w:rPr>
        <w:t xml:space="preserve">Search test: top 3 Google results for the bare name are not direct competitors or unrelated noise.</w:t>
      </w:r>
    </w:p>
    <w:p>
      <w:pPr>
        <w:pStyle w:val="ListParagraph"/>
        <w:numPr>
          <w:ilvl w:val="0"/>
          <w:numId w:val="3"/>
        </w:numPr>
        <w:spacing w:after="80" w:line="300"/>
      </w:pPr>
      <w:r>
        <w:rPr>
          <w:rFonts w:ascii="Calibri" w:cs="Calibri" w:eastAsia="Calibri" w:hAnsi="Calibri"/>
          <w:color w:val="1B1B1B"/>
          <w:sz w:val="22"/>
          <w:szCs w:val="22"/>
        </w:rPr>
        <w:t xml:space="preserve">Five-year test: imagine the brand at €40k MRR with 1,000 stables. Does the name still fit, or does it feel like a college side project?</w:t>
      </w:r>
    </w:p>
    <w:p>
      <w:pPr>
        <w:spacing w:after="120" w:before="0" w:line="320"/>
        <w:jc w:val="left"/>
      </w:pPr>
      <w:r>
        <w:rPr>
          <w:rFonts w:ascii="Calibri" w:cs="Calibri" w:eastAsia="Calibri" w:hAnsi="Calibri"/>
          <w:b w:val="false"/>
          <w:bCs w:val="false"/>
          <w:i w:val="false"/>
          <w:iCs w:val="false"/>
          <w:color w:val="1B1B1B"/>
          <w:sz w:val="22"/>
          <w:szCs w:val="22"/>
        </w:rPr>
        <w:t xml:space="preserve">If Hoofbeat passes all five, ship it and move on. If it fails the trademark test, fall to Cantor. If both fail, commit to Withers — the insider signal is strong enough to carry the brand.</w:t>
      </w:r>
    </w:p>
    <w:p>
      <w:pPr>
        <w:pBdr>
          <w:bottom w:val="single" w:color="C9BFAE" w:sz="6" w:space="4"/>
        </w:pBdr>
        <w:spacing w:after="200" w:before="200"/>
      </w:pPr>
      <w:r>
        <w:t xml:space="preserve"/>
      </w:r>
    </w:p>
    <w:p>
      <w:pPr>
        <w:pStyle w:val="Heading1"/>
        <w:spacing w:after="200" w:before="360"/>
      </w:pPr>
      <w:r>
        <w:rPr>
          <w:rFonts w:ascii="Georgia" w:cs="Georgia" w:eastAsia="Georgia" w:hAnsi="Georgia"/>
          <w:b/>
          <w:bCs/>
          <w:color w:val="1E3A2A"/>
          <w:sz w:val="44"/>
          <w:szCs w:val="44"/>
        </w:rPr>
        <w:t xml:space="preserve">3. Positioning, Voice &amp; Manifesto</w:t>
      </w:r>
    </w:p>
    <w:p>
      <w:pPr>
        <w:pStyle w:val="Heading2"/>
        <w:spacing w:after="140" w:before="280"/>
      </w:pPr>
      <w:r>
        <w:rPr>
          <w:rFonts w:ascii="Georgia" w:cs="Georgia" w:eastAsia="Georgia" w:hAnsi="Georgia"/>
          <w:b/>
          <w:bCs/>
          <w:color w:val="1E3A2A"/>
          <w:sz w:val="32"/>
          <w:szCs w:val="32"/>
        </w:rPr>
        <w:t xml:space="preserve">3.1 Positioning statement (internal use)</w:t>
      </w:r>
    </w:p>
    <w:p>
      <w:pPr>
        <w:pBdr>
          <w:left w:val="single" w:color="B5793E" w:sz="18" w:space="12"/>
        </w:pBdr>
        <w:spacing w:after="200" w:before="100" w:line="360"/>
        <w:ind w:left="480"/>
      </w:pPr>
      <w:r>
        <w:rPr>
          <w:rFonts w:ascii="Georgia" w:cs="Georgia" w:eastAsia="Georgia" w:hAnsi="Georgia"/>
          <w:i/>
          <w:iCs/>
          <w:color w:val="3F3527"/>
          <w:sz w:val="24"/>
          <w:szCs w:val="24"/>
        </w:rPr>
        <w:t xml:space="preserve">For European riding-school and livery-yard owners running 15–40 horses out of WhatsApp groups and Excel sheets, [Hoofbeat] is the stable management system that protects your horses while it runs your business — the only tool that puts horse workload, the schedule, and the invoice on the same screen. Unlike Equine Genie and Stablebuzz, we are built in Europe for European stables: SEPA, GDPR, and your local language from day one.</w:t>
      </w:r>
    </w:p>
    <w:p>
      <w:pPr>
        <w:pStyle w:val="Heading2"/>
        <w:spacing w:after="140" w:before="280"/>
      </w:pPr>
      <w:r>
        <w:rPr>
          <w:rFonts w:ascii="Georgia" w:cs="Georgia" w:eastAsia="Georgia" w:hAnsi="Georgia"/>
          <w:b/>
          <w:bCs/>
          <w:color w:val="1E3A2A"/>
          <w:sz w:val="32"/>
          <w:szCs w:val="32"/>
        </w:rPr>
        <w:t xml:space="preserve">3.2 The brand manifesto (public-facing)</w:t>
      </w:r>
    </w:p>
    <w:p>
      <w:pPr>
        <w:spacing w:after="120" w:before="0" w:line="320"/>
        <w:jc w:val="left"/>
      </w:pPr>
      <w:r>
        <w:rPr>
          <w:rFonts w:ascii="Calibri" w:cs="Calibri" w:eastAsia="Calibri" w:hAnsi="Calibri"/>
          <w:b w:val="false"/>
          <w:bCs w:val="false"/>
          <w:i/>
          <w:iCs/>
          <w:color w:val="6E6760"/>
          <w:sz w:val="22"/>
          <w:szCs w:val="22"/>
        </w:rPr>
        <w:t xml:space="preserve">Use this verbatim on the homepage About panel and the founder Instagram pinned post. Do not soften it.</w:t>
      </w:r>
    </w:p>
    <w:p>
      <w:pPr>
        <w:pBdr>
          <w:left w:val="single" w:color="B5793E" w:sz="18" w:space="12"/>
        </w:pBdr>
        <w:spacing w:after="200" w:before="100" w:line="360"/>
        <w:ind w:left="480"/>
      </w:pPr>
      <w:r>
        <w:rPr>
          <w:rFonts w:ascii="Georgia" w:cs="Georgia" w:eastAsia="Georgia" w:hAnsi="Georgia"/>
          <w:i/>
          <w:iCs/>
          <w:color w:val="3F3527"/>
          <w:sz w:val="24"/>
          <w:szCs w:val="24"/>
        </w:rPr>
        <w:t xml:space="preserve">Stables don't fail because the people running them stopped caring. They fail because the day eats the work. The lesson runs late. The invoice doesn't get sent. The young horse goes out one ride too many. We built Hoofbeat for the trainer who would rather be in the arena than on a spreadsheet — and for the owner who refuses to choose between running a business and running a yard that horses thrive in.</w:t>
      </w:r>
    </w:p>
    <w:p>
      <w:pPr>
        <w:pStyle w:val="Heading2"/>
        <w:spacing w:after="140" w:before="280"/>
      </w:pPr>
      <w:r>
        <w:rPr>
          <w:rFonts w:ascii="Georgia" w:cs="Georgia" w:eastAsia="Georgia" w:hAnsi="Georgia"/>
          <w:b/>
          <w:bCs/>
          <w:color w:val="1E3A2A"/>
          <w:sz w:val="32"/>
          <w:szCs w:val="32"/>
        </w:rPr>
        <w:t xml:space="preserve">3.3 Five brand pillars</w:t>
      </w:r>
    </w:p>
    <w:p>
      <w:pPr>
        <w:spacing w:after="120" w:before="0" w:line="320"/>
        <w:jc w:val="left"/>
      </w:pPr>
      <w:r>
        <w:rPr>
          <w:rFonts w:ascii="Calibri" w:cs="Calibri" w:eastAsia="Calibri" w:hAnsi="Calibri"/>
          <w:b w:val="false"/>
          <w:bCs w:val="false"/>
          <w:i/>
          <w:iCs/>
          <w:color w:val="6E6760"/>
          <w:sz w:val="22"/>
          <w:szCs w:val="22"/>
        </w:rPr>
        <w:t xml:space="preserve">Each pillar maps to a feature line, a content theme, and a way to say no to scope creep. If a feature does not serve at least one pillar, cut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rPr>
          <w:tblHeader/>
        </w:trPr>
        <w:tc>
          <w:tcPr>
            <w:tcW w:type="dxa" w:w="2400"/>
            <w:tcBorders>
              <w:top w:val="single" w:color="C9BFAE" w:sz="4"/>
              <w:left w:val="single" w:color="C9BFAE" w:sz="4"/>
              <w:bottom w:val="single" w:color="C9BFAE" w:sz="4"/>
              <w:right w:val="single" w:color="C9BFAE" w:sz="4"/>
            </w:tcBorders>
            <w:shd w:fill="1E3A2A" w:val="clear"/>
            <w:tcMar>
              <w:top w:type="dxa" w:w="100"/>
              <w:left w:type="dxa" w:w="140"/>
              <w:bottom w:type="dxa" w:w="100"/>
              <w:right w:type="dxa" w:w="140"/>
            </w:tcMar>
          </w:tcPr>
          <w:p>
            <w:pPr>
              <w:spacing w:line="280"/>
            </w:pPr>
            <w:r>
              <w:rPr>
                <w:rFonts w:ascii="Calibri" w:cs="Calibri" w:eastAsia="Calibri" w:hAnsi="Calibri"/>
                <w:b/>
                <w:bCs/>
                <w:color w:val="F4ECDF"/>
                <w:sz w:val="20"/>
                <w:szCs w:val="20"/>
              </w:rPr>
              <w:t xml:space="preserve">Pillar</w:t>
            </w:r>
          </w:p>
        </w:tc>
        <w:tc>
          <w:tcPr>
            <w:tcW w:type="dxa" w:w="3200"/>
            <w:tcBorders>
              <w:top w:val="single" w:color="C9BFAE" w:sz="4"/>
              <w:left w:val="single" w:color="C9BFAE" w:sz="4"/>
              <w:bottom w:val="single" w:color="C9BFAE" w:sz="4"/>
              <w:right w:val="single" w:color="C9BFAE" w:sz="4"/>
            </w:tcBorders>
            <w:shd w:fill="1E3A2A" w:val="clear"/>
            <w:tcMar>
              <w:top w:type="dxa" w:w="100"/>
              <w:left w:type="dxa" w:w="140"/>
              <w:bottom w:type="dxa" w:w="100"/>
              <w:right w:type="dxa" w:w="140"/>
            </w:tcMar>
          </w:tcPr>
          <w:p>
            <w:pPr>
              <w:spacing w:line="280"/>
            </w:pPr>
            <w:r>
              <w:rPr>
                <w:rFonts w:ascii="Calibri" w:cs="Calibri" w:eastAsia="Calibri" w:hAnsi="Calibri"/>
                <w:b/>
                <w:bCs/>
                <w:color w:val="F4ECDF"/>
                <w:sz w:val="20"/>
                <w:szCs w:val="20"/>
              </w:rPr>
              <w:t xml:space="preserve">What it means</w:t>
            </w:r>
          </w:p>
        </w:tc>
        <w:tc>
          <w:tcPr>
            <w:tcW w:type="dxa" w:w="3760"/>
            <w:tcBorders>
              <w:top w:val="single" w:color="C9BFAE" w:sz="4"/>
              <w:left w:val="single" w:color="C9BFAE" w:sz="4"/>
              <w:bottom w:val="single" w:color="C9BFAE" w:sz="4"/>
              <w:right w:val="single" w:color="C9BFAE" w:sz="4"/>
            </w:tcBorders>
            <w:shd w:fill="1E3A2A" w:val="clear"/>
            <w:tcMar>
              <w:top w:type="dxa" w:w="100"/>
              <w:left w:type="dxa" w:w="140"/>
              <w:bottom w:type="dxa" w:w="100"/>
              <w:right w:type="dxa" w:w="140"/>
            </w:tcMar>
          </w:tcPr>
          <w:p>
            <w:pPr>
              <w:spacing w:line="280"/>
            </w:pPr>
            <w:r>
              <w:rPr>
                <w:rFonts w:ascii="Calibri" w:cs="Calibri" w:eastAsia="Calibri" w:hAnsi="Calibri"/>
                <w:b/>
                <w:bCs/>
                <w:color w:val="F4ECDF"/>
                <w:sz w:val="20"/>
                <w:szCs w:val="20"/>
              </w:rPr>
              <w:t xml:space="preserve">Proof in product / content</w:t>
            </w:r>
          </w:p>
        </w:tc>
      </w:tr>
      <w:tr>
        <w:tc>
          <w:tcPr>
            <w:tcW w:type="dxa" w:w="2400"/>
            <w:tcBorders>
              <w:top w:val="single" w:color="C9BFAE" w:sz="4"/>
              <w:left w:val="single" w:color="C9BFAE" w:sz="4"/>
              <w:bottom w:val="single" w:color="C9BFAE" w:sz="4"/>
              <w:right w:val="single" w:color="C9BFAE" w:sz="4"/>
            </w:tcBorders>
            <w:shd w:fill="F4ECDF" w:val="clear"/>
            <w:tcMar>
              <w:top w:type="dxa" w:w="100"/>
              <w:left w:type="dxa" w:w="140"/>
              <w:bottom w:type="dxa" w:w="100"/>
              <w:right w:type="dxa" w:w="140"/>
            </w:tcMar>
          </w:tcPr>
          <w:p>
            <w:pPr>
              <w:spacing w:line="280"/>
            </w:pPr>
            <w:r>
              <w:rPr>
                <w:rFonts w:ascii="Calibri" w:cs="Calibri" w:eastAsia="Calibri" w:hAnsi="Calibri"/>
                <w:b/>
                <w:bCs/>
                <w:color w:val="1B1B1B"/>
                <w:sz w:val="20"/>
                <w:szCs w:val="20"/>
              </w:rPr>
              <w:t xml:space="preserve">Welfare first</w:t>
            </w:r>
          </w:p>
        </w:tc>
        <w:tc>
          <w:tcPr>
            <w:tcW w:type="dxa" w:w="3200"/>
            <w:tcBorders>
              <w:top w:val="single" w:color="C9BFAE" w:sz="4"/>
              <w:left w:val="single" w:color="C9BFAE" w:sz="4"/>
              <w:bottom w:val="single" w:color="C9BFAE" w:sz="4"/>
              <w:right w:val="single" w:color="C9BFAE" w:sz="4"/>
            </w:tcBorders>
            <w:shd w:fill="FBF6EC" w:val="clear"/>
            <w:tcMar>
              <w:top w:type="dxa" w:w="100"/>
              <w:left w:type="dxa" w:w="140"/>
              <w:bottom w:type="dxa" w:w="100"/>
              <w:right w:type="dxa" w:w="140"/>
            </w:tcMar>
          </w:tcPr>
          <w:p>
            <w:pPr>
              <w:spacing w:line="280"/>
            </w:pPr>
            <w:r>
              <w:rPr>
                <w:rFonts w:ascii="Calibri" w:cs="Calibri" w:eastAsia="Calibri" w:hAnsi="Calibri"/>
                <w:b w:val="false"/>
                <w:bCs w:val="false"/>
                <w:color w:val="1B1B1B"/>
                <w:sz w:val="20"/>
                <w:szCs w:val="20"/>
              </w:rPr>
              <w:t xml:space="preserve">Horse workload is a first-class object, not a checkbox.</w:t>
            </w:r>
          </w:p>
        </w:tc>
        <w:tc>
          <w:tcPr>
            <w:tcW w:type="dxa" w:w="3760"/>
            <w:tcBorders>
              <w:top w:val="single" w:color="C9BFAE" w:sz="4"/>
              <w:left w:val="single" w:color="C9BFAE" w:sz="4"/>
              <w:bottom w:val="single" w:color="C9BFAE" w:sz="4"/>
              <w:right w:val="single" w:color="C9BFAE" w:sz="4"/>
            </w:tcBorders>
            <w:shd w:fill="FBF6EC" w:val="clear"/>
            <w:tcMar>
              <w:top w:type="dxa" w:w="100"/>
              <w:left w:type="dxa" w:w="140"/>
              <w:bottom w:type="dxa" w:w="100"/>
              <w:right w:type="dxa" w:w="140"/>
            </w:tcMar>
          </w:tcPr>
          <w:p>
            <w:pPr>
              <w:spacing w:line="280"/>
            </w:pPr>
            <w:r>
              <w:rPr>
                <w:rFonts w:ascii="Calibri" w:cs="Calibri" w:eastAsia="Calibri" w:hAnsi="Calibri"/>
                <w:b w:val="false"/>
                <w:bCs w:val="false"/>
                <w:color w:val="1B1B1B"/>
                <w:sz w:val="20"/>
                <w:szCs w:val="20"/>
              </w:rPr>
              <w:t xml:space="preserve">Workload heatmap on dashboard. Weekly welfare email. "Horse over-ridden this week" alert.</w:t>
            </w:r>
          </w:p>
        </w:tc>
      </w:tr>
      <w:tr>
        <w:tc>
          <w:tcPr>
            <w:tcW w:type="dxa" w:w="2400"/>
            <w:tcBorders>
              <w:top w:val="single" w:color="C9BFAE" w:sz="4"/>
              <w:left w:val="single" w:color="C9BFAE" w:sz="4"/>
              <w:bottom w:val="single" w:color="C9BFAE" w:sz="4"/>
              <w:right w:val="single" w:color="C9BFAE" w:sz="4"/>
            </w:tcBorders>
            <w:shd w:fill="F4ECDF" w:val="clear"/>
            <w:tcMar>
              <w:top w:type="dxa" w:w="100"/>
              <w:left w:type="dxa" w:w="140"/>
              <w:bottom w:type="dxa" w:w="100"/>
              <w:right w:type="dxa" w:w="140"/>
            </w:tcMar>
          </w:tcPr>
          <w:p>
            <w:pPr>
              <w:spacing w:line="280"/>
            </w:pPr>
            <w:r>
              <w:rPr>
                <w:rFonts w:ascii="Calibri" w:cs="Calibri" w:eastAsia="Calibri" w:hAnsi="Calibri"/>
                <w:b/>
                <w:bCs/>
                <w:color w:val="1B1B1B"/>
                <w:sz w:val="20"/>
                <w:szCs w:val="20"/>
              </w:rPr>
              <w:t xml:space="preserve">Built by a stable, for stables</w:t>
            </w:r>
          </w:p>
        </w:tc>
        <w:tc>
          <w:tcPr>
            <w:tcW w:type="dxa" w:w="3200"/>
            <w:tcBorders>
              <w:top w:val="single" w:color="C9BFAE" w:sz="4"/>
              <w:left w:val="single" w:color="C9BFAE" w:sz="4"/>
              <w:bottom w:val="single" w:color="C9BFAE" w:sz="4"/>
              <w:right w:val="single" w:color="C9BFAE" w:sz="4"/>
            </w:tcBorders>
            <w:shd w:fill="FBF6EC" w:val="clear"/>
            <w:tcMar>
              <w:top w:type="dxa" w:w="100"/>
              <w:left w:type="dxa" w:w="140"/>
              <w:bottom w:type="dxa" w:w="100"/>
              <w:right w:type="dxa" w:w="140"/>
            </w:tcMar>
          </w:tcPr>
          <w:p>
            <w:pPr>
              <w:spacing w:line="280"/>
            </w:pPr>
            <w:r>
              <w:rPr>
                <w:rFonts w:ascii="Calibri" w:cs="Calibri" w:eastAsia="Calibri" w:hAnsi="Calibri"/>
                <w:b w:val="false"/>
                <w:bCs w:val="false"/>
                <w:color w:val="1B1B1B"/>
                <w:sz w:val="20"/>
                <w:szCs w:val="20"/>
              </w:rPr>
              <w:t xml:space="preserve">Domain credibility, not tech tourists. Founder's yard is customer zero.</w:t>
            </w:r>
          </w:p>
        </w:tc>
        <w:tc>
          <w:tcPr>
            <w:tcW w:type="dxa" w:w="3760"/>
            <w:tcBorders>
              <w:top w:val="single" w:color="C9BFAE" w:sz="4"/>
              <w:left w:val="single" w:color="C9BFAE" w:sz="4"/>
              <w:bottom w:val="single" w:color="C9BFAE" w:sz="4"/>
              <w:right w:val="single" w:color="C9BFAE" w:sz="4"/>
            </w:tcBorders>
            <w:shd w:fill="FBF6EC" w:val="clear"/>
            <w:tcMar>
              <w:top w:type="dxa" w:w="100"/>
              <w:left w:type="dxa" w:w="140"/>
              <w:bottom w:type="dxa" w:w="100"/>
              <w:right w:type="dxa" w:w="140"/>
            </w:tcMar>
          </w:tcPr>
          <w:p>
            <w:pPr>
              <w:spacing w:line="280"/>
            </w:pPr>
            <w:r>
              <w:rPr>
                <w:rFonts w:ascii="Calibri" w:cs="Calibri" w:eastAsia="Calibri" w:hAnsi="Calibri"/>
                <w:b w:val="false"/>
                <w:bCs w:val="false"/>
                <w:color w:val="1B1B1B"/>
                <w:sz w:val="20"/>
                <w:szCs w:val="20"/>
              </w:rPr>
              <w:t xml:space="preserve">Founder name on every release note. "From the yard" weekly Instagram series.</w:t>
            </w:r>
          </w:p>
        </w:tc>
      </w:tr>
      <w:tr>
        <w:tc>
          <w:tcPr>
            <w:tcW w:type="dxa" w:w="2400"/>
            <w:tcBorders>
              <w:top w:val="single" w:color="C9BFAE" w:sz="4"/>
              <w:left w:val="single" w:color="C9BFAE" w:sz="4"/>
              <w:bottom w:val="single" w:color="C9BFAE" w:sz="4"/>
              <w:right w:val="single" w:color="C9BFAE" w:sz="4"/>
            </w:tcBorders>
            <w:shd w:fill="F4ECDF" w:val="clear"/>
            <w:tcMar>
              <w:top w:type="dxa" w:w="100"/>
              <w:left w:type="dxa" w:w="140"/>
              <w:bottom w:type="dxa" w:w="100"/>
              <w:right w:type="dxa" w:w="140"/>
            </w:tcMar>
          </w:tcPr>
          <w:p>
            <w:pPr>
              <w:spacing w:line="280"/>
            </w:pPr>
            <w:r>
              <w:rPr>
                <w:rFonts w:ascii="Calibri" w:cs="Calibri" w:eastAsia="Calibri" w:hAnsi="Calibri"/>
                <w:b/>
                <w:bCs/>
                <w:color w:val="1B1B1B"/>
                <w:sz w:val="20"/>
                <w:szCs w:val="20"/>
              </w:rPr>
              <w:t xml:space="preserve">European-native</w:t>
            </w:r>
          </w:p>
        </w:tc>
        <w:tc>
          <w:tcPr>
            <w:tcW w:type="dxa" w:w="3200"/>
            <w:tcBorders>
              <w:top w:val="single" w:color="C9BFAE" w:sz="4"/>
              <w:left w:val="single" w:color="C9BFAE" w:sz="4"/>
              <w:bottom w:val="single" w:color="C9BFAE" w:sz="4"/>
              <w:right w:val="single" w:color="C9BFAE" w:sz="4"/>
            </w:tcBorders>
            <w:shd w:fill="FBF6EC" w:val="clear"/>
            <w:tcMar>
              <w:top w:type="dxa" w:w="100"/>
              <w:left w:type="dxa" w:w="140"/>
              <w:bottom w:type="dxa" w:w="100"/>
              <w:right w:type="dxa" w:w="140"/>
            </w:tcMar>
          </w:tcPr>
          <w:p>
            <w:pPr>
              <w:spacing w:line="280"/>
            </w:pPr>
            <w:r>
              <w:rPr>
                <w:rFonts w:ascii="Calibri" w:cs="Calibri" w:eastAsia="Calibri" w:hAnsi="Calibri"/>
                <w:b w:val="false"/>
                <w:bCs w:val="false"/>
                <w:color w:val="1B1B1B"/>
                <w:sz w:val="20"/>
                <w:szCs w:val="20"/>
              </w:rPr>
              <w:t xml:space="preserve">Language, regulation, payment, and currency designed for the EU mid-market — not retrofitted from a US tool.</w:t>
            </w:r>
          </w:p>
        </w:tc>
        <w:tc>
          <w:tcPr>
            <w:tcW w:type="dxa" w:w="3760"/>
            <w:tcBorders>
              <w:top w:val="single" w:color="C9BFAE" w:sz="4"/>
              <w:left w:val="single" w:color="C9BFAE" w:sz="4"/>
              <w:bottom w:val="single" w:color="C9BFAE" w:sz="4"/>
              <w:right w:val="single" w:color="C9BFAE" w:sz="4"/>
            </w:tcBorders>
            <w:shd w:fill="FBF6EC" w:val="clear"/>
            <w:tcMar>
              <w:top w:type="dxa" w:w="100"/>
              <w:left w:type="dxa" w:w="140"/>
              <w:bottom w:type="dxa" w:w="100"/>
              <w:right w:type="dxa" w:w="140"/>
            </w:tcMar>
          </w:tcPr>
          <w:p>
            <w:pPr>
              <w:spacing w:line="280"/>
            </w:pPr>
            <w:r>
              <w:rPr>
                <w:rFonts w:ascii="Calibri" w:cs="Calibri" w:eastAsia="Calibri" w:hAnsi="Calibri"/>
                <w:b w:val="false"/>
                <w:bCs w:val="false"/>
                <w:color w:val="1B1B1B"/>
                <w:sz w:val="20"/>
                <w:szCs w:val="20"/>
              </w:rPr>
              <w:t xml:space="preserve">LT, PL, DE, EN at launch. SEPA + Stripe Tax. GDPR data export and erase live in MVP.</w:t>
            </w:r>
          </w:p>
        </w:tc>
      </w:tr>
      <w:tr>
        <w:tc>
          <w:tcPr>
            <w:tcW w:type="dxa" w:w="2400"/>
            <w:tcBorders>
              <w:top w:val="single" w:color="C9BFAE" w:sz="4"/>
              <w:left w:val="single" w:color="C9BFAE" w:sz="4"/>
              <w:bottom w:val="single" w:color="C9BFAE" w:sz="4"/>
              <w:right w:val="single" w:color="C9BFAE" w:sz="4"/>
            </w:tcBorders>
            <w:shd w:fill="F4ECDF" w:val="clear"/>
            <w:tcMar>
              <w:top w:type="dxa" w:w="100"/>
              <w:left w:type="dxa" w:w="140"/>
              <w:bottom w:type="dxa" w:w="100"/>
              <w:right w:type="dxa" w:w="140"/>
            </w:tcMar>
          </w:tcPr>
          <w:p>
            <w:pPr>
              <w:spacing w:line="280"/>
            </w:pPr>
            <w:r>
              <w:rPr>
                <w:rFonts w:ascii="Calibri" w:cs="Calibri" w:eastAsia="Calibri" w:hAnsi="Calibri"/>
                <w:b/>
                <w:bCs/>
                <w:color w:val="1B1B1B"/>
                <w:sz w:val="20"/>
                <w:szCs w:val="20"/>
              </w:rPr>
              <w:t xml:space="preserve">Simple over complete</w:t>
            </w:r>
          </w:p>
        </w:tc>
        <w:tc>
          <w:tcPr>
            <w:tcW w:type="dxa" w:w="3200"/>
            <w:tcBorders>
              <w:top w:val="single" w:color="C9BFAE" w:sz="4"/>
              <w:left w:val="single" w:color="C9BFAE" w:sz="4"/>
              <w:bottom w:val="single" w:color="C9BFAE" w:sz="4"/>
              <w:right w:val="single" w:color="C9BFAE" w:sz="4"/>
            </w:tcBorders>
            <w:shd w:fill="FBF6EC" w:val="clear"/>
            <w:tcMar>
              <w:top w:type="dxa" w:w="100"/>
              <w:left w:type="dxa" w:w="140"/>
              <w:bottom w:type="dxa" w:w="100"/>
              <w:right w:type="dxa" w:w="140"/>
            </w:tcMar>
          </w:tcPr>
          <w:p>
            <w:pPr>
              <w:spacing w:line="280"/>
            </w:pPr>
            <w:r>
              <w:rPr>
                <w:rFonts w:ascii="Calibri" w:cs="Calibri" w:eastAsia="Calibri" w:hAnsi="Calibri"/>
                <w:b w:val="false"/>
                <w:bCs w:val="false"/>
                <w:color w:val="1B1B1B"/>
                <w:sz w:val="20"/>
                <w:szCs w:val="20"/>
              </w:rPr>
              <w:t xml:space="preserve">30 minutes to value, not 4 hours of data entry.</w:t>
            </w:r>
          </w:p>
        </w:tc>
        <w:tc>
          <w:tcPr>
            <w:tcW w:type="dxa" w:w="3760"/>
            <w:tcBorders>
              <w:top w:val="single" w:color="C9BFAE" w:sz="4"/>
              <w:left w:val="single" w:color="C9BFAE" w:sz="4"/>
              <w:bottom w:val="single" w:color="C9BFAE" w:sz="4"/>
              <w:right w:val="single" w:color="C9BFAE" w:sz="4"/>
            </w:tcBorders>
            <w:shd w:fill="FBF6EC" w:val="clear"/>
            <w:tcMar>
              <w:top w:type="dxa" w:w="100"/>
              <w:left w:type="dxa" w:w="140"/>
              <w:bottom w:type="dxa" w:w="100"/>
              <w:right w:type="dxa" w:w="140"/>
            </w:tcMar>
          </w:tcPr>
          <w:p>
            <w:pPr>
              <w:spacing w:line="280"/>
            </w:pPr>
            <w:r>
              <w:rPr>
                <w:rFonts w:ascii="Calibri" w:cs="Calibri" w:eastAsia="Calibri" w:hAnsi="Calibri"/>
                <w:b w:val="false"/>
                <w:bCs w:val="false"/>
                <w:color w:val="1B1B1B"/>
                <w:sz w:val="20"/>
                <w:szCs w:val="20"/>
              </w:rPr>
              <w:t xml:space="preserve">CSV horse import. WhatsApp-style invite link for clients. Onboarding that finishes in one sitting.</w:t>
            </w:r>
          </w:p>
        </w:tc>
      </w:tr>
      <w:tr>
        <w:tc>
          <w:tcPr>
            <w:tcW w:type="dxa" w:w="2400"/>
            <w:tcBorders>
              <w:top w:val="single" w:color="C9BFAE" w:sz="4"/>
              <w:left w:val="single" w:color="C9BFAE" w:sz="4"/>
              <w:bottom w:val="single" w:color="C9BFAE" w:sz="4"/>
              <w:right w:val="single" w:color="C9BFAE" w:sz="4"/>
            </w:tcBorders>
            <w:shd w:fill="F4ECDF" w:val="clear"/>
            <w:tcMar>
              <w:top w:type="dxa" w:w="100"/>
              <w:left w:type="dxa" w:w="140"/>
              <w:bottom w:type="dxa" w:w="100"/>
              <w:right w:type="dxa" w:w="140"/>
            </w:tcMar>
          </w:tcPr>
          <w:p>
            <w:pPr>
              <w:spacing w:line="280"/>
            </w:pPr>
            <w:r>
              <w:rPr>
                <w:rFonts w:ascii="Calibri" w:cs="Calibri" w:eastAsia="Calibri" w:hAnsi="Calibri"/>
                <w:b/>
                <w:bCs/>
                <w:color w:val="1B1B1B"/>
                <w:sz w:val="20"/>
                <w:szCs w:val="20"/>
              </w:rPr>
              <w:t xml:space="preserve">Phone-first for trainers</w:t>
            </w:r>
          </w:p>
        </w:tc>
        <w:tc>
          <w:tcPr>
            <w:tcW w:type="dxa" w:w="3200"/>
            <w:tcBorders>
              <w:top w:val="single" w:color="C9BFAE" w:sz="4"/>
              <w:left w:val="single" w:color="C9BFAE" w:sz="4"/>
              <w:bottom w:val="single" w:color="C9BFAE" w:sz="4"/>
              <w:right w:val="single" w:color="C9BFAE" w:sz="4"/>
            </w:tcBorders>
            <w:shd w:fill="FBF6EC" w:val="clear"/>
            <w:tcMar>
              <w:top w:type="dxa" w:w="100"/>
              <w:left w:type="dxa" w:w="140"/>
              <w:bottom w:type="dxa" w:w="100"/>
              <w:right w:type="dxa" w:w="140"/>
            </w:tcMar>
          </w:tcPr>
          <w:p>
            <w:pPr>
              <w:spacing w:line="280"/>
            </w:pPr>
            <w:r>
              <w:rPr>
                <w:rFonts w:ascii="Calibri" w:cs="Calibri" w:eastAsia="Calibri" w:hAnsi="Calibri"/>
                <w:b w:val="false"/>
                <w:bCs w:val="false"/>
                <w:color w:val="1B1B1B"/>
                <w:sz w:val="20"/>
                <w:szCs w:val="20"/>
              </w:rPr>
              <w:t xml:space="preserve">Work happens in the arena. The desktop is the back office, the phone is the workplace.</w:t>
            </w:r>
          </w:p>
        </w:tc>
        <w:tc>
          <w:tcPr>
            <w:tcW w:type="dxa" w:w="3760"/>
            <w:tcBorders>
              <w:top w:val="single" w:color="C9BFAE" w:sz="4"/>
              <w:left w:val="single" w:color="C9BFAE" w:sz="4"/>
              <w:bottom w:val="single" w:color="C9BFAE" w:sz="4"/>
              <w:right w:val="single" w:color="C9BFAE" w:sz="4"/>
            </w:tcBorders>
            <w:shd w:fill="FBF6EC" w:val="clear"/>
            <w:tcMar>
              <w:top w:type="dxa" w:w="100"/>
              <w:left w:type="dxa" w:w="140"/>
              <w:bottom w:type="dxa" w:w="100"/>
              <w:right w:type="dxa" w:w="140"/>
            </w:tcMar>
          </w:tcPr>
          <w:p>
            <w:pPr>
              <w:spacing w:line="280"/>
            </w:pPr>
            <w:r>
              <w:rPr>
                <w:rFonts w:ascii="Calibri" w:cs="Calibri" w:eastAsia="Calibri" w:hAnsi="Calibri"/>
                <w:b w:val="false"/>
                <w:bCs w:val="false"/>
                <w:color w:val="1B1B1B"/>
                <w:sz w:val="20"/>
                <w:szCs w:val="20"/>
              </w:rPr>
              <w:t xml:space="preserve">Mobile-first PWA. One-tap lesson check-in. Voice-note attachments to horse profile.</w:t>
            </w:r>
          </w:p>
        </w:tc>
      </w:tr>
    </w:tbl>
    <w:p>
      <w:pPr>
        <w:spacing w:after="120" w:before="0" w:line="320"/>
        <w:jc w:val="left"/>
      </w:pPr>
      <w:r>
        <w:rPr>
          <w:rFonts w:ascii="Calibri" w:cs="Calibri" w:eastAsia="Calibri" w:hAnsi="Calibri"/>
          <w:b w:val="false"/>
          <w:bCs w:val="false"/>
          <w:i w:val="false"/>
          <w:iCs w:val="false"/>
          <w:color w:val="1B1B1B"/>
          <w:sz w:val="22"/>
          <w:szCs w:val="22"/>
        </w:rPr>
        <w:t xml:space="preserve"/>
      </w:r>
    </w:p>
    <w:p>
      <w:pPr>
        <w:pStyle w:val="Heading2"/>
        <w:spacing w:after="140" w:before="280"/>
      </w:pPr>
      <w:r>
        <w:rPr>
          <w:rFonts w:ascii="Georgia" w:cs="Georgia" w:eastAsia="Georgia" w:hAnsi="Georgia"/>
          <w:b/>
          <w:bCs/>
          <w:color w:val="1E3A2A"/>
          <w:sz w:val="32"/>
          <w:szCs w:val="32"/>
        </w:rPr>
        <w:t xml:space="preserve">3.4 Voice attributes</w:t>
      </w:r>
    </w:p>
    <w:p>
      <w:pPr>
        <w:pStyle w:val="Heading3"/>
        <w:spacing w:after="100" w:before="200"/>
      </w:pPr>
      <w:r>
        <w:rPr>
          <w:rFonts w:ascii="Calibri" w:cs="Calibri" w:eastAsia="Calibri" w:hAnsi="Calibri"/>
          <w:b/>
          <w:bCs/>
          <w:color w:val="1E3A2A"/>
          <w:sz w:val="26"/>
          <w:szCs w:val="26"/>
        </w:rPr>
        <w:t xml:space="preserve">Direct, not chatty</w:t>
      </w:r>
    </w:p>
    <w:p>
      <w:pPr>
        <w:spacing w:after="120" w:before="0" w:line="320"/>
        <w:jc w:val="left"/>
      </w:pPr>
      <w:r>
        <w:rPr>
          <w:rFonts w:ascii="Calibri" w:cs="Calibri" w:eastAsia="Calibri" w:hAnsi="Calibri"/>
          <w:b w:val="false"/>
          <w:bCs w:val="false"/>
          <w:i w:val="false"/>
          <w:iCs w:val="false"/>
          <w:color w:val="1B1B1B"/>
          <w:sz w:val="22"/>
          <w:szCs w:val="22"/>
        </w:rPr>
        <w:t xml:space="preserve">We sound like Linear and Stripe, not Mailchimp. Sentences end. Periods are full stops, not pauses for applause.</w:t>
      </w:r>
    </w:p>
    <w:p>
      <w:pPr>
        <w:pStyle w:val="Heading3"/>
        <w:spacing w:after="100" w:before="200"/>
      </w:pPr>
      <w:r>
        <w:rPr>
          <w:rFonts w:ascii="Calibri" w:cs="Calibri" w:eastAsia="Calibri" w:hAnsi="Calibri"/>
          <w:b/>
          <w:bCs/>
          <w:color w:val="1E3A2A"/>
          <w:sz w:val="26"/>
          <w:szCs w:val="26"/>
        </w:rPr>
        <w:t xml:space="preserve">Warm, not sentimental</w:t>
      </w:r>
    </w:p>
    <w:p>
      <w:pPr>
        <w:spacing w:after="120" w:before="0" w:line="320"/>
        <w:jc w:val="left"/>
      </w:pPr>
      <w:r>
        <w:rPr>
          <w:rFonts w:ascii="Calibri" w:cs="Calibri" w:eastAsia="Calibri" w:hAnsi="Calibri"/>
          <w:b w:val="false"/>
          <w:bCs w:val="false"/>
          <w:i w:val="false"/>
          <w:iCs w:val="false"/>
          <w:color w:val="1B1B1B"/>
          <w:sz w:val="22"/>
          <w:szCs w:val="22"/>
        </w:rPr>
        <w:t xml:space="preserve">We talk about horses the way owners do — with respect, never with rainbow-bridge sentimentality or social-media animal-influencer voice. No "soulful gaze." No "furry friends." Horses are working animals we love; the brand sounds like that.</w:t>
      </w:r>
    </w:p>
    <w:p>
      <w:pPr>
        <w:pStyle w:val="Heading3"/>
        <w:spacing w:after="100" w:before="200"/>
      </w:pPr>
      <w:r>
        <w:rPr>
          <w:rFonts w:ascii="Calibri" w:cs="Calibri" w:eastAsia="Calibri" w:hAnsi="Calibri"/>
          <w:b/>
          <w:bCs/>
          <w:color w:val="1E3A2A"/>
          <w:sz w:val="26"/>
          <w:szCs w:val="26"/>
        </w:rPr>
        <w:t xml:space="preserve">Confidently blunt about the pain</w:t>
      </w:r>
    </w:p>
    <w:p>
      <w:pPr>
        <w:spacing w:after="120" w:before="0" w:line="320"/>
        <w:jc w:val="left"/>
      </w:pPr>
      <w:r>
        <w:rPr>
          <w:rFonts w:ascii="Calibri" w:cs="Calibri" w:eastAsia="Calibri" w:hAnsi="Calibri"/>
          <w:b w:val="false"/>
          <w:bCs w:val="false"/>
          <w:i w:val="false"/>
          <w:iCs w:val="false"/>
          <w:color w:val="1B1B1B"/>
          <w:sz w:val="22"/>
          <w:szCs w:val="22"/>
        </w:rPr>
        <w:t xml:space="preserve">Yes, you can run a stable on WhatsApp. And yes, you will lose €200 a month doing it. The brand never apologises for telling the customer the truth about their current setup.</w:t>
      </w:r>
    </w:p>
    <w:p>
      <w:pPr>
        <w:pStyle w:val="Heading3"/>
        <w:spacing w:after="100" w:before="200"/>
      </w:pPr>
      <w:r>
        <w:rPr>
          <w:rFonts w:ascii="Calibri" w:cs="Calibri" w:eastAsia="Calibri" w:hAnsi="Calibri"/>
          <w:b/>
          <w:bCs/>
          <w:color w:val="1E3A2A"/>
          <w:sz w:val="26"/>
          <w:szCs w:val="26"/>
        </w:rPr>
        <w:t xml:space="preserve">Words and phrases to avoid</w:t>
      </w:r>
    </w:p>
    <w:p>
      <w:pPr>
        <w:pStyle w:val="ListParagraph"/>
        <w:numPr>
          <w:ilvl w:val="0"/>
          <w:numId w:val="3"/>
        </w:numPr>
        <w:spacing w:after="80" w:line="300"/>
      </w:pPr>
      <w:r>
        <w:rPr>
          <w:rFonts w:ascii="Calibri" w:cs="Calibri" w:eastAsia="Calibri" w:hAnsi="Calibri"/>
          <w:color w:val="1B1B1B"/>
          <w:sz w:val="22"/>
          <w:szCs w:val="22"/>
        </w:rPr>
        <w:t xml:space="preserve">"Passion," "journey," "vision," "empower," "unleash," "unlock the potential."</w:t>
      </w:r>
    </w:p>
    <w:p>
      <w:pPr>
        <w:pStyle w:val="ListParagraph"/>
        <w:numPr>
          <w:ilvl w:val="0"/>
          <w:numId w:val="3"/>
        </w:numPr>
        <w:spacing w:after="80" w:line="300"/>
      </w:pPr>
      <w:r>
        <w:rPr>
          <w:rFonts w:ascii="Calibri" w:cs="Calibri" w:eastAsia="Calibri" w:hAnsi="Calibri"/>
          <w:color w:val="1B1B1B"/>
          <w:sz w:val="22"/>
          <w:szCs w:val="22"/>
        </w:rPr>
        <w:t xml:space="preserve">"Solutions for stables" — every SaaS site in equestrian uses this. We do not.</w:t>
      </w:r>
    </w:p>
    <w:p>
      <w:pPr>
        <w:pStyle w:val="ListParagraph"/>
        <w:numPr>
          <w:ilvl w:val="0"/>
          <w:numId w:val="3"/>
        </w:numPr>
        <w:spacing w:after="80" w:line="300"/>
      </w:pPr>
      <w:r>
        <w:rPr>
          <w:rFonts w:ascii="Calibri" w:cs="Calibri" w:eastAsia="Calibri" w:hAnsi="Calibri"/>
          <w:color w:val="1B1B1B"/>
          <w:sz w:val="22"/>
          <w:szCs w:val="22"/>
        </w:rPr>
        <w:t xml:space="preserve">"Furry friends," "hooved heroes," "horse mom" — anti-credible to professional stable people.</w:t>
      </w:r>
    </w:p>
    <w:p>
      <w:pPr>
        <w:pStyle w:val="ListParagraph"/>
        <w:numPr>
          <w:ilvl w:val="0"/>
          <w:numId w:val="3"/>
        </w:numPr>
        <w:spacing w:after="80" w:line="300"/>
      </w:pPr>
      <w:r>
        <w:rPr>
          <w:rFonts w:ascii="Calibri" w:cs="Calibri" w:eastAsia="Calibri" w:hAnsi="Calibri"/>
          <w:color w:val="1B1B1B"/>
          <w:sz w:val="22"/>
          <w:szCs w:val="22"/>
        </w:rPr>
        <w:t xml:space="preserve">"Comprehensive platform," "all-in-one," "end-to-end" — these promise nothing specific.</w:t>
      </w:r>
    </w:p>
    <w:p>
      <w:pPr>
        <w:pStyle w:val="Heading3"/>
        <w:spacing w:after="100" w:before="200"/>
      </w:pPr>
      <w:r>
        <w:rPr>
          <w:rFonts w:ascii="Calibri" w:cs="Calibri" w:eastAsia="Calibri" w:hAnsi="Calibri"/>
          <w:b/>
          <w:bCs/>
          <w:color w:val="1E3A2A"/>
          <w:sz w:val="26"/>
          <w:szCs w:val="26"/>
        </w:rPr>
        <w:t xml:space="preserve">Words and phrases to use</w:t>
      </w:r>
    </w:p>
    <w:p>
      <w:pPr>
        <w:pStyle w:val="ListParagraph"/>
        <w:numPr>
          <w:ilvl w:val="0"/>
          <w:numId w:val="3"/>
        </w:numPr>
        <w:spacing w:after="80" w:line="300"/>
      </w:pPr>
      <w:r>
        <w:rPr>
          <w:rFonts w:ascii="Calibri" w:cs="Calibri" w:eastAsia="Calibri" w:hAnsi="Calibri"/>
          <w:color w:val="1B1B1B"/>
          <w:sz w:val="22"/>
          <w:szCs w:val="22"/>
        </w:rPr>
        <w:t xml:space="preserve">"The yard." "The arena." "On the schedule." "In the saddle."</w:t>
      </w:r>
    </w:p>
    <w:p>
      <w:pPr>
        <w:pStyle w:val="ListParagraph"/>
        <w:numPr>
          <w:ilvl w:val="0"/>
          <w:numId w:val="3"/>
        </w:numPr>
        <w:spacing w:after="80" w:line="300"/>
      </w:pPr>
      <w:r>
        <w:rPr>
          <w:rFonts w:ascii="Calibri" w:cs="Calibri" w:eastAsia="Calibri" w:hAnsi="Calibri"/>
          <w:color w:val="1B1B1B"/>
          <w:sz w:val="22"/>
          <w:szCs w:val="22"/>
        </w:rPr>
        <w:t xml:space="preserve">"Workload," "welfare," "livery," "lesson block," "turnout," "hand-walk."</w:t>
      </w:r>
    </w:p>
    <w:p>
      <w:pPr>
        <w:pStyle w:val="ListParagraph"/>
        <w:numPr>
          <w:ilvl w:val="0"/>
          <w:numId w:val="3"/>
        </w:numPr>
        <w:spacing w:after="80" w:line="300"/>
      </w:pPr>
      <w:r>
        <w:rPr>
          <w:rFonts w:ascii="Calibri" w:cs="Calibri" w:eastAsia="Calibri" w:hAnsi="Calibri"/>
          <w:color w:val="1B1B1B"/>
          <w:sz w:val="22"/>
          <w:szCs w:val="22"/>
        </w:rPr>
        <w:t xml:space="preserve">Numbers. Always numbers. "15–40 horses," "€49 a month," "30-minute setup."</w:t>
      </w:r>
    </w:p>
    <w:p>
      <w:pPr>
        <w:pStyle w:val="Heading2"/>
        <w:spacing w:after="140" w:before="280"/>
      </w:pPr>
      <w:r>
        <w:rPr>
          <w:rFonts w:ascii="Georgia" w:cs="Georgia" w:eastAsia="Georgia" w:hAnsi="Georgia"/>
          <w:b/>
          <w:bCs/>
          <w:color w:val="1E3A2A"/>
          <w:sz w:val="32"/>
          <w:szCs w:val="32"/>
        </w:rPr>
        <w:t xml:space="preserve">3.5 Six taglines</w:t>
      </w:r>
    </w:p>
    <w:p>
      <w:pPr>
        <w:spacing w:after="120" w:before="0" w:line="320"/>
        <w:jc w:val="left"/>
      </w:pPr>
      <w:r>
        <w:rPr>
          <w:rFonts w:ascii="Calibri" w:cs="Calibri" w:eastAsia="Calibri" w:hAnsi="Calibri"/>
          <w:b w:val="false"/>
          <w:bCs w:val="false"/>
          <w:i/>
          <w:iCs/>
          <w:color w:val="6E6760"/>
          <w:sz w:val="22"/>
          <w:szCs w:val="22"/>
        </w:rPr>
        <w:t xml:space="preserve">Test the top three with five Baltic stable owners before commit. The strongest one survives reading aloud over the phone.</w:t>
      </w:r>
    </w:p>
    <w:p>
      <w:pPr>
        <w:pStyle w:val="ListParagraph"/>
        <w:numPr>
          <w:ilvl w:val="0"/>
          <w:numId w:val="2"/>
        </w:numPr>
        <w:spacing w:after="80" w:line="300"/>
      </w:pPr>
      <w:r>
        <w:rPr>
          <w:rFonts w:ascii="Calibri" w:cs="Calibri" w:eastAsia="Calibri" w:hAnsi="Calibri"/>
          <w:color w:val="1B1B1B"/>
          <w:sz w:val="22"/>
          <w:szCs w:val="22"/>
        </w:rPr>
        <w:t xml:space="preserve">Run the yard. Protect the horses. — Recommended primary. Six words, two verbs, two nouns. Operational and welfare in one breath.</w:t>
      </w:r>
    </w:p>
    <w:p>
      <w:pPr>
        <w:pStyle w:val="ListParagraph"/>
        <w:numPr>
          <w:ilvl w:val="0"/>
          <w:numId w:val="2"/>
        </w:numPr>
        <w:spacing w:after="80" w:line="300"/>
      </w:pPr>
      <w:r>
        <w:rPr>
          <w:rFonts w:ascii="Calibri" w:cs="Calibri" w:eastAsia="Calibri" w:hAnsi="Calibri"/>
          <w:color w:val="1B1B1B"/>
          <w:sz w:val="22"/>
          <w:szCs w:val="22"/>
        </w:rPr>
        <w:t xml:space="preserve">Built for stables that ride more than they admin.</w:t>
      </w:r>
    </w:p>
    <w:p>
      <w:pPr>
        <w:pStyle w:val="ListParagraph"/>
        <w:numPr>
          <w:ilvl w:val="0"/>
          <w:numId w:val="2"/>
        </w:numPr>
        <w:spacing w:after="80" w:line="300"/>
      </w:pPr>
      <w:r>
        <w:rPr>
          <w:rFonts w:ascii="Calibri" w:cs="Calibri" w:eastAsia="Calibri" w:hAnsi="Calibri"/>
          <w:color w:val="1B1B1B"/>
          <w:sz w:val="22"/>
          <w:szCs w:val="22"/>
        </w:rPr>
        <w:t xml:space="preserve">The stable management tool that knows what a tired horse looks like.</w:t>
      </w:r>
    </w:p>
    <w:p>
      <w:pPr>
        <w:pStyle w:val="ListParagraph"/>
        <w:numPr>
          <w:ilvl w:val="0"/>
          <w:numId w:val="2"/>
        </w:numPr>
        <w:spacing w:after="80" w:line="300"/>
      </w:pPr>
      <w:r>
        <w:rPr>
          <w:rFonts w:ascii="Calibri" w:cs="Calibri" w:eastAsia="Calibri" w:hAnsi="Calibri"/>
          <w:color w:val="1B1B1B"/>
          <w:sz w:val="22"/>
          <w:szCs w:val="22"/>
        </w:rPr>
        <w:t xml:space="preserve">Schedule, invoice, protect. One screen.</w:t>
      </w:r>
    </w:p>
    <w:p>
      <w:pPr>
        <w:pStyle w:val="ListParagraph"/>
        <w:numPr>
          <w:ilvl w:val="0"/>
          <w:numId w:val="2"/>
        </w:numPr>
        <w:spacing w:after="80" w:line="300"/>
      </w:pPr>
      <w:r>
        <w:rPr>
          <w:rFonts w:ascii="Calibri" w:cs="Calibri" w:eastAsia="Calibri" w:hAnsi="Calibri"/>
          <w:color w:val="1B1B1B"/>
          <w:sz w:val="22"/>
          <w:szCs w:val="22"/>
        </w:rPr>
        <w:t xml:space="preserve">Stop running your stable on WhatsApp.</w:t>
      </w:r>
    </w:p>
    <w:p>
      <w:pPr>
        <w:pStyle w:val="ListParagraph"/>
        <w:numPr>
          <w:ilvl w:val="0"/>
          <w:numId w:val="2"/>
        </w:numPr>
        <w:spacing w:after="80" w:line="300"/>
      </w:pPr>
      <w:r>
        <w:rPr>
          <w:rFonts w:ascii="Calibri" w:cs="Calibri" w:eastAsia="Calibri" w:hAnsi="Calibri"/>
          <w:color w:val="1B1B1B"/>
          <w:sz w:val="22"/>
          <w:szCs w:val="22"/>
        </w:rPr>
        <w:t xml:space="preserve">Made in the saddle. Built for the back office.</w:t>
      </w:r>
    </w:p>
    <w:p>
      <w:pPr>
        <w:pBdr>
          <w:bottom w:val="single" w:color="C9BFAE" w:sz="6" w:space="4"/>
        </w:pBdr>
        <w:spacing w:after="200" w:before="200"/>
      </w:pPr>
      <w:r>
        <w:t xml:space="preserve"/>
      </w:r>
    </w:p>
    <w:p>
      <w:pPr>
        <w:pStyle w:val="Heading1"/>
        <w:spacing w:after="200" w:before="360"/>
      </w:pPr>
      <w:r>
        <w:rPr>
          <w:rFonts w:ascii="Georgia" w:cs="Georgia" w:eastAsia="Georgia" w:hAnsi="Georgia"/>
          <w:b/>
          <w:bCs/>
          <w:color w:val="1E3A2A"/>
          <w:sz w:val="44"/>
          <w:szCs w:val="44"/>
        </w:rPr>
        <w:t xml:space="preserve">4. Visual Identity — Warm Equestrian Premium</w:t>
      </w:r>
    </w:p>
    <w:p>
      <w:pPr>
        <w:spacing w:after="120" w:before="0" w:line="320"/>
        <w:jc w:val="left"/>
      </w:pPr>
      <w:r>
        <w:rPr>
          <w:rFonts w:ascii="Calibri" w:cs="Calibri" w:eastAsia="Calibri" w:hAnsi="Calibri"/>
          <w:b w:val="false"/>
          <w:bCs w:val="false"/>
          <w:i w:val="false"/>
          <w:iCs w:val="false"/>
          <w:color w:val="1B1B1B"/>
          <w:sz w:val="22"/>
          <w:szCs w:val="22"/>
        </w:rPr>
        <w:t xml:space="preserve">The brief: feel like a well-oiled saddle and a clean arena floor at the same time. Tradition modernised — never dated, never cute. The visual system should look right next to Aesop, Berluti, and Linear — not next to PetSmart or a US horse magazine.</w:t>
      </w:r>
    </w:p>
    <w:p>
      <w:pPr>
        <w:pStyle w:val="Heading2"/>
        <w:spacing w:after="140" w:before="280"/>
      </w:pPr>
      <w:r>
        <w:rPr>
          <w:rFonts w:ascii="Georgia" w:cs="Georgia" w:eastAsia="Georgia" w:hAnsi="Georgia"/>
          <w:b/>
          <w:bCs/>
          <w:color w:val="1E3A2A"/>
          <w:sz w:val="32"/>
          <w:szCs w:val="32"/>
        </w:rPr>
        <w:t xml:space="preserve">4.1 Color palette</w:t>
      </w:r>
    </w:p>
    <w:p>
      <w:pPr>
        <w:spacing w:after="120" w:before="0" w:line="320"/>
        <w:jc w:val="left"/>
      </w:pPr>
      <w:r>
        <w:rPr>
          <w:rFonts w:ascii="Calibri" w:cs="Calibri" w:eastAsia="Calibri" w:hAnsi="Calibri"/>
          <w:b w:val="false"/>
          <w:bCs w:val="false"/>
          <w:i/>
          <w:iCs/>
          <w:color w:val="6E6760"/>
          <w:sz w:val="22"/>
          <w:szCs w:val="22"/>
        </w:rPr>
        <w:t xml:space="preserve">Six colors, each with a defined job. No additions without a system update.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2400"/>
        <w:gridCol w:w="3560"/>
      </w:tblGrid>
      <w:tr>
        <w:trPr>
          <w:tblHeader/>
        </w:trPr>
        <w:tc>
          <w:tcPr>
            <w:tcW w:type="dxa" w:w="1800"/>
            <w:tcBorders>
              <w:top w:val="single" w:color="C9BFAE" w:sz="4"/>
              <w:left w:val="single" w:color="C9BFAE" w:sz="4"/>
              <w:bottom w:val="single" w:color="C9BFAE" w:sz="4"/>
              <w:right w:val="single" w:color="C9BFAE" w:sz="4"/>
            </w:tcBorders>
            <w:shd w:fill="1E3A2A" w:val="clear"/>
            <w:tcMar>
              <w:top w:type="dxa" w:w="100"/>
              <w:left w:type="dxa" w:w="140"/>
              <w:bottom w:type="dxa" w:w="100"/>
              <w:right w:type="dxa" w:w="140"/>
            </w:tcMar>
          </w:tcPr>
          <w:p>
            <w:pPr>
              <w:spacing w:line="280"/>
            </w:pPr>
            <w:r>
              <w:rPr>
                <w:rFonts w:ascii="Calibri" w:cs="Calibri" w:eastAsia="Calibri" w:hAnsi="Calibri"/>
                <w:b/>
                <w:bCs/>
                <w:color w:val="F4ECDF"/>
                <w:sz w:val="20"/>
                <w:szCs w:val="20"/>
              </w:rPr>
              <w:t xml:space="preserve">Role</w:t>
            </w:r>
          </w:p>
        </w:tc>
        <w:tc>
          <w:tcPr>
            <w:tcW w:type="dxa" w:w="1600"/>
            <w:tcBorders>
              <w:top w:val="single" w:color="C9BFAE" w:sz="4"/>
              <w:left w:val="single" w:color="C9BFAE" w:sz="4"/>
              <w:bottom w:val="single" w:color="C9BFAE" w:sz="4"/>
              <w:right w:val="single" w:color="C9BFAE" w:sz="4"/>
            </w:tcBorders>
            <w:shd w:fill="1E3A2A" w:val="clear"/>
            <w:tcMar>
              <w:top w:type="dxa" w:w="100"/>
              <w:left w:type="dxa" w:w="140"/>
              <w:bottom w:type="dxa" w:w="100"/>
              <w:right w:type="dxa" w:w="140"/>
            </w:tcMar>
          </w:tcPr>
          <w:p>
            <w:pPr>
              <w:spacing w:line="280"/>
            </w:pPr>
            <w:r>
              <w:rPr>
                <w:rFonts w:ascii="Calibri" w:cs="Calibri" w:eastAsia="Calibri" w:hAnsi="Calibri"/>
                <w:b/>
                <w:bCs/>
                <w:color w:val="F4ECDF"/>
                <w:sz w:val="20"/>
                <w:szCs w:val="20"/>
              </w:rPr>
              <w:t xml:space="preserve">Hex</w:t>
            </w:r>
          </w:p>
        </w:tc>
        <w:tc>
          <w:tcPr>
            <w:tcW w:type="dxa" w:w="2400"/>
            <w:tcBorders>
              <w:top w:val="single" w:color="C9BFAE" w:sz="4"/>
              <w:left w:val="single" w:color="C9BFAE" w:sz="4"/>
              <w:bottom w:val="single" w:color="C9BFAE" w:sz="4"/>
              <w:right w:val="single" w:color="C9BFAE" w:sz="4"/>
            </w:tcBorders>
            <w:shd w:fill="1E3A2A" w:val="clear"/>
            <w:tcMar>
              <w:top w:type="dxa" w:w="100"/>
              <w:left w:type="dxa" w:w="140"/>
              <w:bottom w:type="dxa" w:w="100"/>
              <w:right w:type="dxa" w:w="140"/>
            </w:tcMar>
          </w:tcPr>
          <w:p>
            <w:pPr>
              <w:spacing w:line="280"/>
            </w:pPr>
            <w:r>
              <w:rPr>
                <w:rFonts w:ascii="Calibri" w:cs="Calibri" w:eastAsia="Calibri" w:hAnsi="Calibri"/>
                <w:b/>
                <w:bCs/>
                <w:color w:val="F4ECDF"/>
                <w:sz w:val="20"/>
                <w:szCs w:val="20"/>
              </w:rPr>
              <w:t xml:space="preserve">Name</w:t>
            </w:r>
          </w:p>
        </w:tc>
        <w:tc>
          <w:tcPr>
            <w:tcW w:type="dxa" w:w="3560"/>
            <w:tcBorders>
              <w:top w:val="single" w:color="C9BFAE" w:sz="4"/>
              <w:left w:val="single" w:color="C9BFAE" w:sz="4"/>
              <w:bottom w:val="single" w:color="C9BFAE" w:sz="4"/>
              <w:right w:val="single" w:color="C9BFAE" w:sz="4"/>
            </w:tcBorders>
            <w:shd w:fill="1E3A2A" w:val="clear"/>
            <w:tcMar>
              <w:top w:type="dxa" w:w="100"/>
              <w:left w:type="dxa" w:w="140"/>
              <w:bottom w:type="dxa" w:w="100"/>
              <w:right w:type="dxa" w:w="140"/>
            </w:tcMar>
          </w:tcPr>
          <w:p>
            <w:pPr>
              <w:spacing w:line="280"/>
            </w:pPr>
            <w:r>
              <w:rPr>
                <w:rFonts w:ascii="Calibri" w:cs="Calibri" w:eastAsia="Calibri" w:hAnsi="Calibri"/>
                <w:b/>
                <w:bCs/>
                <w:color w:val="F4ECDF"/>
                <w:sz w:val="20"/>
                <w:szCs w:val="20"/>
              </w:rPr>
              <w:t xml:space="preserve">Where to use it</w:t>
            </w:r>
          </w:p>
        </w:tc>
      </w:tr>
      <w:tr>
        <w:tc>
          <w:tcPr>
            <w:tcW w:type="dxa" w:w="1800"/>
            <w:tcBorders>
              <w:top w:val="single" w:color="C9BFAE" w:sz="4"/>
              <w:left w:val="single" w:color="C9BFAE" w:sz="4"/>
              <w:bottom w:val="single" w:color="C9BFAE" w:sz="4"/>
              <w:right w:val="single" w:color="C9BFAE" w:sz="4"/>
            </w:tcBorders>
            <w:tcMar>
              <w:top w:type="dxa" w:w="100"/>
              <w:left w:type="dxa" w:w="140"/>
              <w:bottom w:type="dxa" w:w="100"/>
              <w:right w:type="dxa" w:w="140"/>
            </w:tcMar>
          </w:tcPr>
          <w:p>
            <w:pPr>
              <w:spacing w:line="280"/>
            </w:pPr>
            <w:r>
              <w:rPr>
                <w:rFonts w:ascii="Calibri" w:cs="Calibri" w:eastAsia="Calibri" w:hAnsi="Calibri"/>
                <w:b/>
                <w:bCs/>
                <w:color w:val="1B1B1B"/>
                <w:sz w:val="20"/>
                <w:szCs w:val="20"/>
              </w:rPr>
              <w:t xml:space="preserve">Primary</w:t>
            </w:r>
          </w:p>
        </w:tc>
        <w:tc>
          <w:tcPr>
            <w:tcW w:type="dxa" w:w="1600"/>
            <w:tcBorders>
              <w:top w:val="single" w:color="C9BFAE" w:sz="4"/>
              <w:left w:val="single" w:color="C9BFAE" w:sz="4"/>
              <w:bottom w:val="single" w:color="C9BFAE" w:sz="4"/>
              <w:right w:val="single" w:color="C9BFAE" w:sz="4"/>
            </w:tcBorders>
            <w:shd w:fill="1E3A2A" w:val="clear"/>
            <w:tcMar>
              <w:top w:type="dxa" w:w="100"/>
              <w:left w:type="dxa" w:w="140"/>
              <w:bottom w:type="dxa" w:w="100"/>
              <w:right w:type="dxa" w:w="140"/>
            </w:tcMar>
          </w:tcPr>
          <w:p>
            <w:pPr>
              <w:spacing w:line="280"/>
            </w:pPr>
            <w:r>
              <w:rPr>
                <w:rFonts w:ascii="Calibri" w:cs="Calibri" w:eastAsia="Calibri" w:hAnsi="Calibri"/>
                <w:b/>
                <w:bCs/>
                <w:color w:val="F4ECDF"/>
                <w:sz w:val="20"/>
                <w:szCs w:val="20"/>
              </w:rPr>
              <w:t xml:space="preserve">#1E3A2A</w:t>
            </w:r>
          </w:p>
        </w:tc>
        <w:tc>
          <w:tcPr>
            <w:tcW w:type="dxa" w:w="2400"/>
            <w:tcBorders>
              <w:top w:val="single" w:color="C9BFAE" w:sz="4"/>
              <w:left w:val="single" w:color="C9BFAE" w:sz="4"/>
              <w:bottom w:val="single" w:color="C9BFAE" w:sz="4"/>
              <w:right w:val="single" w:color="C9BFAE" w:sz="4"/>
            </w:tcBorders>
            <w:tcMar>
              <w:top w:type="dxa" w:w="100"/>
              <w:left w:type="dxa" w:w="140"/>
              <w:bottom w:type="dxa" w:w="100"/>
              <w:right w:type="dxa" w:w="140"/>
            </w:tcMar>
          </w:tcPr>
          <w:p>
            <w:pPr>
              <w:spacing w:line="280"/>
            </w:pPr>
            <w:r>
              <w:rPr>
                <w:rFonts w:ascii="Calibri" w:cs="Calibri" w:eastAsia="Calibri" w:hAnsi="Calibri"/>
                <w:b w:val="false"/>
                <w:bCs w:val="false"/>
                <w:color w:val="1B1B1B"/>
                <w:sz w:val="20"/>
                <w:szCs w:val="20"/>
              </w:rPr>
              <w:t xml:space="preserve">Paddock Green</w:t>
            </w:r>
          </w:p>
        </w:tc>
        <w:tc>
          <w:tcPr>
            <w:tcW w:type="dxa" w:w="3560"/>
            <w:tcBorders>
              <w:top w:val="single" w:color="C9BFAE" w:sz="4"/>
              <w:left w:val="single" w:color="C9BFAE" w:sz="4"/>
              <w:bottom w:val="single" w:color="C9BFAE" w:sz="4"/>
              <w:right w:val="single" w:color="C9BFAE" w:sz="4"/>
            </w:tcBorders>
            <w:tcMar>
              <w:top w:type="dxa" w:w="100"/>
              <w:left w:type="dxa" w:w="140"/>
              <w:bottom w:type="dxa" w:w="100"/>
              <w:right w:type="dxa" w:w="140"/>
            </w:tcMar>
          </w:tcPr>
          <w:p>
            <w:pPr>
              <w:spacing w:line="280"/>
            </w:pPr>
            <w:r>
              <w:rPr>
                <w:rFonts w:ascii="Calibri" w:cs="Calibri" w:eastAsia="Calibri" w:hAnsi="Calibri"/>
                <w:b w:val="false"/>
                <w:bCs w:val="false"/>
                <w:color w:val="1B1B1B"/>
                <w:sz w:val="20"/>
                <w:szCs w:val="20"/>
              </w:rPr>
              <w:t xml:space="preserve">Logo, headlines, primary CTAs, footer.</w:t>
            </w:r>
          </w:p>
        </w:tc>
      </w:tr>
      <w:tr>
        <w:tc>
          <w:tcPr>
            <w:tcW w:type="dxa" w:w="1800"/>
            <w:tcBorders>
              <w:top w:val="single" w:color="C9BFAE" w:sz="4"/>
              <w:left w:val="single" w:color="C9BFAE" w:sz="4"/>
              <w:bottom w:val="single" w:color="C9BFAE" w:sz="4"/>
              <w:right w:val="single" w:color="C9BFAE" w:sz="4"/>
            </w:tcBorders>
            <w:tcMar>
              <w:top w:type="dxa" w:w="100"/>
              <w:left w:type="dxa" w:w="140"/>
              <w:bottom w:type="dxa" w:w="100"/>
              <w:right w:type="dxa" w:w="140"/>
            </w:tcMar>
          </w:tcPr>
          <w:p>
            <w:pPr>
              <w:spacing w:line="280"/>
            </w:pPr>
            <w:r>
              <w:rPr>
                <w:rFonts w:ascii="Calibri" w:cs="Calibri" w:eastAsia="Calibri" w:hAnsi="Calibri"/>
                <w:b/>
                <w:bCs/>
                <w:color w:val="1B1B1B"/>
                <w:sz w:val="20"/>
                <w:szCs w:val="20"/>
              </w:rPr>
              <w:t xml:space="preserve">Secondary</w:t>
            </w:r>
          </w:p>
        </w:tc>
        <w:tc>
          <w:tcPr>
            <w:tcW w:type="dxa" w:w="1600"/>
            <w:tcBorders>
              <w:top w:val="single" w:color="C9BFAE" w:sz="4"/>
              <w:left w:val="single" w:color="C9BFAE" w:sz="4"/>
              <w:bottom w:val="single" w:color="C9BFAE" w:sz="4"/>
              <w:right w:val="single" w:color="C9BFAE" w:sz="4"/>
            </w:tcBorders>
            <w:shd w:fill="B5793E" w:val="clear"/>
            <w:tcMar>
              <w:top w:type="dxa" w:w="100"/>
              <w:left w:type="dxa" w:w="140"/>
              <w:bottom w:type="dxa" w:w="100"/>
              <w:right w:type="dxa" w:w="140"/>
            </w:tcMar>
          </w:tcPr>
          <w:p>
            <w:pPr>
              <w:spacing w:line="280"/>
            </w:pPr>
            <w:r>
              <w:rPr>
                <w:rFonts w:ascii="Calibri" w:cs="Calibri" w:eastAsia="Calibri" w:hAnsi="Calibri"/>
                <w:b/>
                <w:bCs/>
                <w:color w:val="FFFFFF"/>
                <w:sz w:val="20"/>
                <w:szCs w:val="20"/>
              </w:rPr>
              <w:t xml:space="preserve">#B5793E</w:t>
            </w:r>
          </w:p>
        </w:tc>
        <w:tc>
          <w:tcPr>
            <w:tcW w:type="dxa" w:w="2400"/>
            <w:tcBorders>
              <w:top w:val="single" w:color="C9BFAE" w:sz="4"/>
              <w:left w:val="single" w:color="C9BFAE" w:sz="4"/>
              <w:bottom w:val="single" w:color="C9BFAE" w:sz="4"/>
              <w:right w:val="single" w:color="C9BFAE" w:sz="4"/>
            </w:tcBorders>
            <w:tcMar>
              <w:top w:type="dxa" w:w="100"/>
              <w:left w:type="dxa" w:w="140"/>
              <w:bottom w:type="dxa" w:w="100"/>
              <w:right w:type="dxa" w:w="140"/>
            </w:tcMar>
          </w:tcPr>
          <w:p>
            <w:pPr>
              <w:spacing w:line="280"/>
            </w:pPr>
            <w:r>
              <w:rPr>
                <w:rFonts w:ascii="Calibri" w:cs="Calibri" w:eastAsia="Calibri" w:hAnsi="Calibri"/>
                <w:b w:val="false"/>
                <w:bCs w:val="false"/>
                <w:color w:val="1B1B1B"/>
                <w:sz w:val="20"/>
                <w:szCs w:val="20"/>
              </w:rPr>
              <w:t xml:space="preserve">Saddle Tan</w:t>
            </w:r>
          </w:p>
        </w:tc>
        <w:tc>
          <w:tcPr>
            <w:tcW w:type="dxa" w:w="3560"/>
            <w:tcBorders>
              <w:top w:val="single" w:color="C9BFAE" w:sz="4"/>
              <w:left w:val="single" w:color="C9BFAE" w:sz="4"/>
              <w:bottom w:val="single" w:color="C9BFAE" w:sz="4"/>
              <w:right w:val="single" w:color="C9BFAE" w:sz="4"/>
            </w:tcBorders>
            <w:tcMar>
              <w:top w:type="dxa" w:w="100"/>
              <w:left w:type="dxa" w:w="140"/>
              <w:bottom w:type="dxa" w:w="100"/>
              <w:right w:type="dxa" w:w="140"/>
            </w:tcMar>
          </w:tcPr>
          <w:p>
            <w:pPr>
              <w:spacing w:line="280"/>
            </w:pPr>
            <w:r>
              <w:rPr>
                <w:rFonts w:ascii="Calibri" w:cs="Calibri" w:eastAsia="Calibri" w:hAnsi="Calibri"/>
                <w:b w:val="false"/>
                <w:bCs w:val="false"/>
                <w:color w:val="1B1B1B"/>
                <w:sz w:val="20"/>
                <w:szCs w:val="20"/>
              </w:rPr>
              <w:t xml:space="preserve">Section accents, pull-quotes, premium-tier highlights.</w:t>
            </w:r>
          </w:p>
        </w:tc>
      </w:tr>
      <w:tr>
        <w:tc>
          <w:tcPr>
            <w:tcW w:type="dxa" w:w="1800"/>
            <w:tcBorders>
              <w:top w:val="single" w:color="C9BFAE" w:sz="4"/>
              <w:left w:val="single" w:color="C9BFAE" w:sz="4"/>
              <w:bottom w:val="single" w:color="C9BFAE" w:sz="4"/>
              <w:right w:val="single" w:color="C9BFAE" w:sz="4"/>
            </w:tcBorders>
            <w:tcMar>
              <w:top w:type="dxa" w:w="100"/>
              <w:left w:type="dxa" w:w="140"/>
              <w:bottom w:type="dxa" w:w="100"/>
              <w:right w:type="dxa" w:w="140"/>
            </w:tcMar>
          </w:tcPr>
          <w:p>
            <w:pPr>
              <w:spacing w:line="280"/>
            </w:pPr>
            <w:r>
              <w:rPr>
                <w:rFonts w:ascii="Calibri" w:cs="Calibri" w:eastAsia="Calibri" w:hAnsi="Calibri"/>
                <w:b/>
                <w:bCs/>
                <w:color w:val="1B1B1B"/>
                <w:sz w:val="20"/>
                <w:szCs w:val="20"/>
              </w:rPr>
              <w:t xml:space="preserve">Background</w:t>
            </w:r>
          </w:p>
        </w:tc>
        <w:tc>
          <w:tcPr>
            <w:tcW w:type="dxa" w:w="1600"/>
            <w:tcBorders>
              <w:top w:val="single" w:color="C9BFAE" w:sz="4"/>
              <w:left w:val="single" w:color="C9BFAE" w:sz="4"/>
              <w:bottom w:val="single" w:color="C9BFAE" w:sz="4"/>
              <w:right w:val="single" w:color="C9BFAE" w:sz="4"/>
            </w:tcBorders>
            <w:shd w:fill="F4ECDF" w:val="clear"/>
            <w:tcMar>
              <w:top w:type="dxa" w:w="100"/>
              <w:left w:type="dxa" w:w="140"/>
              <w:bottom w:type="dxa" w:w="100"/>
              <w:right w:type="dxa" w:w="140"/>
            </w:tcMar>
          </w:tcPr>
          <w:p>
            <w:pPr>
              <w:spacing w:line="280"/>
            </w:pPr>
            <w:r>
              <w:rPr>
                <w:rFonts w:ascii="Calibri" w:cs="Calibri" w:eastAsia="Calibri" w:hAnsi="Calibri"/>
                <w:b/>
                <w:bCs/>
                <w:color w:val="1B1B1B"/>
                <w:sz w:val="20"/>
                <w:szCs w:val="20"/>
              </w:rPr>
              <w:t xml:space="preserve">#F4ECDF</w:t>
            </w:r>
          </w:p>
        </w:tc>
        <w:tc>
          <w:tcPr>
            <w:tcW w:type="dxa" w:w="2400"/>
            <w:tcBorders>
              <w:top w:val="single" w:color="C9BFAE" w:sz="4"/>
              <w:left w:val="single" w:color="C9BFAE" w:sz="4"/>
              <w:bottom w:val="single" w:color="C9BFAE" w:sz="4"/>
              <w:right w:val="single" w:color="C9BFAE" w:sz="4"/>
            </w:tcBorders>
            <w:tcMar>
              <w:top w:type="dxa" w:w="100"/>
              <w:left w:type="dxa" w:w="140"/>
              <w:bottom w:type="dxa" w:w="100"/>
              <w:right w:type="dxa" w:w="140"/>
            </w:tcMar>
          </w:tcPr>
          <w:p>
            <w:pPr>
              <w:spacing w:line="280"/>
            </w:pPr>
            <w:r>
              <w:rPr>
                <w:rFonts w:ascii="Calibri" w:cs="Calibri" w:eastAsia="Calibri" w:hAnsi="Calibri"/>
                <w:b w:val="false"/>
                <w:bCs w:val="false"/>
                <w:color w:val="1B1B1B"/>
                <w:sz w:val="20"/>
                <w:szCs w:val="20"/>
              </w:rPr>
              <w:t xml:space="preserve">Arena Cream</w:t>
            </w:r>
          </w:p>
        </w:tc>
        <w:tc>
          <w:tcPr>
            <w:tcW w:type="dxa" w:w="3560"/>
            <w:tcBorders>
              <w:top w:val="single" w:color="C9BFAE" w:sz="4"/>
              <w:left w:val="single" w:color="C9BFAE" w:sz="4"/>
              <w:bottom w:val="single" w:color="C9BFAE" w:sz="4"/>
              <w:right w:val="single" w:color="C9BFAE" w:sz="4"/>
            </w:tcBorders>
            <w:tcMar>
              <w:top w:type="dxa" w:w="100"/>
              <w:left w:type="dxa" w:w="140"/>
              <w:bottom w:type="dxa" w:w="100"/>
              <w:right w:type="dxa" w:w="140"/>
            </w:tcMar>
          </w:tcPr>
          <w:p>
            <w:pPr>
              <w:spacing w:line="280"/>
            </w:pPr>
            <w:r>
              <w:rPr>
                <w:rFonts w:ascii="Calibri" w:cs="Calibri" w:eastAsia="Calibri" w:hAnsi="Calibri"/>
                <w:b w:val="false"/>
                <w:bCs w:val="false"/>
                <w:color w:val="1B1B1B"/>
                <w:sz w:val="20"/>
                <w:szCs w:val="20"/>
              </w:rPr>
              <w:t xml:space="preserve">Page backgrounds, marketing site, PDF covers.</w:t>
            </w:r>
          </w:p>
        </w:tc>
      </w:tr>
      <w:tr>
        <w:tc>
          <w:tcPr>
            <w:tcW w:type="dxa" w:w="1800"/>
            <w:tcBorders>
              <w:top w:val="single" w:color="C9BFAE" w:sz="4"/>
              <w:left w:val="single" w:color="C9BFAE" w:sz="4"/>
              <w:bottom w:val="single" w:color="C9BFAE" w:sz="4"/>
              <w:right w:val="single" w:color="C9BFAE" w:sz="4"/>
            </w:tcBorders>
            <w:tcMar>
              <w:top w:type="dxa" w:w="100"/>
              <w:left w:type="dxa" w:w="140"/>
              <w:bottom w:type="dxa" w:w="100"/>
              <w:right w:type="dxa" w:w="140"/>
            </w:tcMar>
          </w:tcPr>
          <w:p>
            <w:pPr>
              <w:spacing w:line="280"/>
            </w:pPr>
            <w:r>
              <w:rPr>
                <w:rFonts w:ascii="Calibri" w:cs="Calibri" w:eastAsia="Calibri" w:hAnsi="Calibri"/>
                <w:b/>
                <w:bCs/>
                <w:color w:val="1B1B1B"/>
                <w:sz w:val="20"/>
                <w:szCs w:val="20"/>
              </w:rPr>
              <w:t xml:space="preserve">Ink</w:t>
            </w:r>
          </w:p>
        </w:tc>
        <w:tc>
          <w:tcPr>
            <w:tcW w:type="dxa" w:w="1600"/>
            <w:tcBorders>
              <w:top w:val="single" w:color="C9BFAE" w:sz="4"/>
              <w:left w:val="single" w:color="C9BFAE" w:sz="4"/>
              <w:bottom w:val="single" w:color="C9BFAE" w:sz="4"/>
              <w:right w:val="single" w:color="C9BFAE" w:sz="4"/>
            </w:tcBorders>
            <w:shd w:fill="1B1B1B" w:val="clear"/>
            <w:tcMar>
              <w:top w:type="dxa" w:w="100"/>
              <w:left w:type="dxa" w:w="140"/>
              <w:bottom w:type="dxa" w:w="100"/>
              <w:right w:type="dxa" w:w="140"/>
            </w:tcMar>
          </w:tcPr>
          <w:p>
            <w:pPr>
              <w:spacing w:line="280"/>
            </w:pPr>
            <w:r>
              <w:rPr>
                <w:rFonts w:ascii="Calibri" w:cs="Calibri" w:eastAsia="Calibri" w:hAnsi="Calibri"/>
                <w:b/>
                <w:bCs/>
                <w:color w:val="F4ECDF"/>
                <w:sz w:val="20"/>
                <w:szCs w:val="20"/>
              </w:rPr>
              <w:t xml:space="preserve">#1B1B1B</w:t>
            </w:r>
          </w:p>
        </w:tc>
        <w:tc>
          <w:tcPr>
            <w:tcW w:type="dxa" w:w="2400"/>
            <w:tcBorders>
              <w:top w:val="single" w:color="C9BFAE" w:sz="4"/>
              <w:left w:val="single" w:color="C9BFAE" w:sz="4"/>
              <w:bottom w:val="single" w:color="C9BFAE" w:sz="4"/>
              <w:right w:val="single" w:color="C9BFAE" w:sz="4"/>
            </w:tcBorders>
            <w:tcMar>
              <w:top w:type="dxa" w:w="100"/>
              <w:left w:type="dxa" w:w="140"/>
              <w:bottom w:type="dxa" w:w="100"/>
              <w:right w:type="dxa" w:w="140"/>
            </w:tcMar>
          </w:tcPr>
          <w:p>
            <w:pPr>
              <w:spacing w:line="280"/>
            </w:pPr>
            <w:r>
              <w:rPr>
                <w:rFonts w:ascii="Calibri" w:cs="Calibri" w:eastAsia="Calibri" w:hAnsi="Calibri"/>
                <w:b w:val="false"/>
                <w:bCs w:val="false"/>
                <w:color w:val="1B1B1B"/>
                <w:sz w:val="20"/>
                <w:szCs w:val="20"/>
              </w:rPr>
              <w:t xml:space="preserve">Tack Black</w:t>
            </w:r>
          </w:p>
        </w:tc>
        <w:tc>
          <w:tcPr>
            <w:tcW w:type="dxa" w:w="3560"/>
            <w:tcBorders>
              <w:top w:val="single" w:color="C9BFAE" w:sz="4"/>
              <w:left w:val="single" w:color="C9BFAE" w:sz="4"/>
              <w:bottom w:val="single" w:color="C9BFAE" w:sz="4"/>
              <w:right w:val="single" w:color="C9BFAE" w:sz="4"/>
            </w:tcBorders>
            <w:tcMar>
              <w:top w:type="dxa" w:w="100"/>
              <w:left w:type="dxa" w:w="140"/>
              <w:bottom w:type="dxa" w:w="100"/>
              <w:right w:type="dxa" w:w="140"/>
            </w:tcMar>
          </w:tcPr>
          <w:p>
            <w:pPr>
              <w:spacing w:line="280"/>
            </w:pPr>
            <w:r>
              <w:rPr>
                <w:rFonts w:ascii="Calibri" w:cs="Calibri" w:eastAsia="Calibri" w:hAnsi="Calibri"/>
                <w:b w:val="false"/>
                <w:bCs w:val="false"/>
                <w:color w:val="1B1B1B"/>
                <w:sz w:val="20"/>
                <w:szCs w:val="20"/>
              </w:rPr>
              <w:t xml:space="preserve">Body type. Never pure black — Tack Black has warmth.</w:t>
            </w:r>
          </w:p>
        </w:tc>
      </w:tr>
      <w:tr>
        <w:tc>
          <w:tcPr>
            <w:tcW w:type="dxa" w:w="1800"/>
            <w:tcBorders>
              <w:top w:val="single" w:color="C9BFAE" w:sz="4"/>
              <w:left w:val="single" w:color="C9BFAE" w:sz="4"/>
              <w:bottom w:val="single" w:color="C9BFAE" w:sz="4"/>
              <w:right w:val="single" w:color="C9BFAE" w:sz="4"/>
            </w:tcBorders>
            <w:tcMar>
              <w:top w:type="dxa" w:w="100"/>
              <w:left w:type="dxa" w:w="140"/>
              <w:bottom w:type="dxa" w:w="100"/>
              <w:right w:type="dxa" w:w="140"/>
            </w:tcMar>
          </w:tcPr>
          <w:p>
            <w:pPr>
              <w:spacing w:line="280"/>
            </w:pPr>
            <w:r>
              <w:rPr>
                <w:rFonts w:ascii="Calibri" w:cs="Calibri" w:eastAsia="Calibri" w:hAnsi="Calibri"/>
                <w:b/>
                <w:bCs/>
                <w:color w:val="1B1B1B"/>
                <w:sz w:val="20"/>
                <w:szCs w:val="20"/>
              </w:rPr>
              <w:t xml:space="preserve">Alert</w:t>
            </w:r>
          </w:p>
        </w:tc>
        <w:tc>
          <w:tcPr>
            <w:tcW w:type="dxa" w:w="1600"/>
            <w:tcBorders>
              <w:top w:val="single" w:color="C9BFAE" w:sz="4"/>
              <w:left w:val="single" w:color="C9BFAE" w:sz="4"/>
              <w:bottom w:val="single" w:color="C9BFAE" w:sz="4"/>
              <w:right w:val="single" w:color="C9BFAE" w:sz="4"/>
            </w:tcBorders>
            <w:shd w:fill="9C3D2A" w:val="clear"/>
            <w:tcMar>
              <w:top w:type="dxa" w:w="100"/>
              <w:left w:type="dxa" w:w="140"/>
              <w:bottom w:type="dxa" w:w="100"/>
              <w:right w:type="dxa" w:w="140"/>
            </w:tcMar>
          </w:tcPr>
          <w:p>
            <w:pPr>
              <w:spacing w:line="280"/>
            </w:pPr>
            <w:r>
              <w:rPr>
                <w:rFonts w:ascii="Calibri" w:cs="Calibri" w:eastAsia="Calibri" w:hAnsi="Calibri"/>
                <w:b/>
                <w:bCs/>
                <w:color w:val="F4ECDF"/>
                <w:sz w:val="20"/>
                <w:szCs w:val="20"/>
              </w:rPr>
              <w:t xml:space="preserve">#9C3D2A</w:t>
            </w:r>
          </w:p>
        </w:tc>
        <w:tc>
          <w:tcPr>
            <w:tcW w:type="dxa" w:w="2400"/>
            <w:tcBorders>
              <w:top w:val="single" w:color="C9BFAE" w:sz="4"/>
              <w:left w:val="single" w:color="C9BFAE" w:sz="4"/>
              <w:bottom w:val="single" w:color="C9BFAE" w:sz="4"/>
              <w:right w:val="single" w:color="C9BFAE" w:sz="4"/>
            </w:tcBorders>
            <w:tcMar>
              <w:top w:type="dxa" w:w="100"/>
              <w:left w:type="dxa" w:w="140"/>
              <w:bottom w:type="dxa" w:w="100"/>
              <w:right w:type="dxa" w:w="140"/>
            </w:tcMar>
          </w:tcPr>
          <w:p>
            <w:pPr>
              <w:spacing w:line="280"/>
            </w:pPr>
            <w:r>
              <w:rPr>
                <w:rFonts w:ascii="Calibri" w:cs="Calibri" w:eastAsia="Calibri" w:hAnsi="Calibri"/>
                <w:b w:val="false"/>
                <w:bCs w:val="false"/>
                <w:color w:val="1B1B1B"/>
                <w:sz w:val="20"/>
                <w:szCs w:val="20"/>
              </w:rPr>
              <w:t xml:space="preserve">Brick Red</w:t>
            </w:r>
          </w:p>
        </w:tc>
        <w:tc>
          <w:tcPr>
            <w:tcW w:type="dxa" w:w="3560"/>
            <w:tcBorders>
              <w:top w:val="single" w:color="C9BFAE" w:sz="4"/>
              <w:left w:val="single" w:color="C9BFAE" w:sz="4"/>
              <w:bottom w:val="single" w:color="C9BFAE" w:sz="4"/>
              <w:right w:val="single" w:color="C9BFAE" w:sz="4"/>
            </w:tcBorders>
            <w:tcMar>
              <w:top w:type="dxa" w:w="100"/>
              <w:left w:type="dxa" w:w="140"/>
              <w:bottom w:type="dxa" w:w="100"/>
              <w:right w:type="dxa" w:w="140"/>
            </w:tcMar>
          </w:tcPr>
          <w:p>
            <w:pPr>
              <w:spacing w:line="280"/>
            </w:pPr>
            <w:r>
              <w:rPr>
                <w:rFonts w:ascii="Calibri" w:cs="Calibri" w:eastAsia="Calibri" w:hAnsi="Calibri"/>
                <w:b w:val="false"/>
                <w:bCs w:val="false"/>
                <w:color w:val="1B1B1B"/>
                <w:sz w:val="20"/>
                <w:szCs w:val="20"/>
              </w:rPr>
              <w:t xml:space="preserve">Workload alerts, destructive actions. Use sparingly.</w:t>
            </w:r>
          </w:p>
        </w:tc>
      </w:tr>
      <w:tr>
        <w:tc>
          <w:tcPr>
            <w:tcW w:type="dxa" w:w="1800"/>
            <w:tcBorders>
              <w:top w:val="single" w:color="C9BFAE" w:sz="4"/>
              <w:left w:val="single" w:color="C9BFAE" w:sz="4"/>
              <w:bottom w:val="single" w:color="C9BFAE" w:sz="4"/>
              <w:right w:val="single" w:color="C9BFAE" w:sz="4"/>
            </w:tcBorders>
            <w:tcMar>
              <w:top w:type="dxa" w:w="100"/>
              <w:left w:type="dxa" w:w="140"/>
              <w:bottom w:type="dxa" w:w="100"/>
              <w:right w:type="dxa" w:w="140"/>
            </w:tcMar>
          </w:tcPr>
          <w:p>
            <w:pPr>
              <w:spacing w:line="280"/>
            </w:pPr>
            <w:r>
              <w:rPr>
                <w:rFonts w:ascii="Calibri" w:cs="Calibri" w:eastAsia="Calibri" w:hAnsi="Calibri"/>
                <w:b/>
                <w:bCs/>
                <w:color w:val="1B1B1B"/>
                <w:sz w:val="20"/>
                <w:szCs w:val="20"/>
              </w:rPr>
              <w:t xml:space="preserve">Neutral</w:t>
            </w:r>
          </w:p>
        </w:tc>
        <w:tc>
          <w:tcPr>
            <w:tcW w:type="dxa" w:w="1600"/>
            <w:tcBorders>
              <w:top w:val="single" w:color="C9BFAE" w:sz="4"/>
              <w:left w:val="single" w:color="C9BFAE" w:sz="4"/>
              <w:bottom w:val="single" w:color="C9BFAE" w:sz="4"/>
              <w:right w:val="single" w:color="C9BFAE" w:sz="4"/>
            </w:tcBorders>
            <w:shd w:fill="6E6760" w:val="clear"/>
            <w:tcMar>
              <w:top w:type="dxa" w:w="100"/>
              <w:left w:type="dxa" w:w="140"/>
              <w:bottom w:type="dxa" w:w="100"/>
              <w:right w:type="dxa" w:w="140"/>
            </w:tcMar>
          </w:tcPr>
          <w:p>
            <w:pPr>
              <w:spacing w:line="280"/>
            </w:pPr>
            <w:r>
              <w:rPr>
                <w:rFonts w:ascii="Calibri" w:cs="Calibri" w:eastAsia="Calibri" w:hAnsi="Calibri"/>
                <w:b/>
                <w:bCs/>
                <w:color w:val="F4ECDF"/>
                <w:sz w:val="20"/>
                <w:szCs w:val="20"/>
              </w:rPr>
              <w:t xml:space="preserve">#6E6760</w:t>
            </w:r>
          </w:p>
        </w:tc>
        <w:tc>
          <w:tcPr>
            <w:tcW w:type="dxa" w:w="2400"/>
            <w:tcBorders>
              <w:top w:val="single" w:color="C9BFAE" w:sz="4"/>
              <w:left w:val="single" w:color="C9BFAE" w:sz="4"/>
              <w:bottom w:val="single" w:color="C9BFAE" w:sz="4"/>
              <w:right w:val="single" w:color="C9BFAE" w:sz="4"/>
            </w:tcBorders>
            <w:tcMar>
              <w:top w:type="dxa" w:w="100"/>
              <w:left w:type="dxa" w:w="140"/>
              <w:bottom w:type="dxa" w:w="100"/>
              <w:right w:type="dxa" w:w="140"/>
            </w:tcMar>
          </w:tcPr>
          <w:p>
            <w:pPr>
              <w:spacing w:line="280"/>
            </w:pPr>
            <w:r>
              <w:rPr>
                <w:rFonts w:ascii="Calibri" w:cs="Calibri" w:eastAsia="Calibri" w:hAnsi="Calibri"/>
                <w:b w:val="false"/>
                <w:bCs w:val="false"/>
                <w:color w:val="1B1B1B"/>
                <w:sz w:val="20"/>
                <w:szCs w:val="20"/>
              </w:rPr>
              <w:t xml:space="preserve">Stone Grey</w:t>
            </w:r>
          </w:p>
        </w:tc>
        <w:tc>
          <w:tcPr>
            <w:tcW w:type="dxa" w:w="3560"/>
            <w:tcBorders>
              <w:top w:val="single" w:color="C9BFAE" w:sz="4"/>
              <w:left w:val="single" w:color="C9BFAE" w:sz="4"/>
              <w:bottom w:val="single" w:color="C9BFAE" w:sz="4"/>
              <w:right w:val="single" w:color="C9BFAE" w:sz="4"/>
            </w:tcBorders>
            <w:tcMar>
              <w:top w:type="dxa" w:w="100"/>
              <w:left w:type="dxa" w:w="140"/>
              <w:bottom w:type="dxa" w:w="100"/>
              <w:right w:type="dxa" w:w="140"/>
            </w:tcMar>
          </w:tcPr>
          <w:p>
            <w:pPr>
              <w:spacing w:line="280"/>
            </w:pPr>
            <w:r>
              <w:rPr>
                <w:rFonts w:ascii="Calibri" w:cs="Calibri" w:eastAsia="Calibri" w:hAnsi="Calibri"/>
                <w:b w:val="false"/>
                <w:bCs w:val="false"/>
                <w:color w:val="1B1B1B"/>
                <w:sz w:val="20"/>
                <w:szCs w:val="20"/>
              </w:rPr>
              <w:t xml:space="preserve">Captions, secondary text, dividers, subdued UI.</w:t>
            </w:r>
          </w:p>
        </w:tc>
      </w:tr>
    </w:tbl>
    <w:p>
      <w:pPr>
        <w:spacing w:after="120" w:before="0" w:line="320"/>
        <w:jc w:val="left"/>
      </w:pPr>
      <w:r>
        <w:rPr>
          <w:rFonts w:ascii="Calibri" w:cs="Calibri" w:eastAsia="Calibri" w:hAnsi="Calibri"/>
          <w:b w:val="false"/>
          <w:bCs w:val="false"/>
          <w:i w:val="false"/>
          <w:iCs w:val="false"/>
          <w:color w:val="1B1B1B"/>
          <w:sz w:val="22"/>
          <w:szCs w:val="22"/>
        </w:rPr>
        <w:t xml:space="preserve"/>
      </w:r>
    </w:p>
    <w:p>
      <w:pPr>
        <w:spacing w:after="120" w:before="0" w:line="320"/>
        <w:jc w:val="left"/>
      </w:pPr>
      <w:r>
        <w:rPr>
          <w:rFonts w:ascii="Calibri" w:cs="Calibri" w:eastAsia="Calibri" w:hAnsi="Calibri"/>
          <w:b w:val="false"/>
          <w:bCs w:val="false"/>
          <w:i/>
          <w:iCs/>
          <w:color w:val="6E6760"/>
          <w:sz w:val="22"/>
          <w:szCs w:val="22"/>
        </w:rPr>
        <w:t xml:space="preserve">Why these colours and not the equestrian default of brown + cream + gold: the default is what every saddler and feed company already uses. Adding deep paddock green pulls Hoofbeat out of "horse stuff" and into "professional tool that happens to be for horses" — the same move Aesop made for cosmetics.</w:t>
      </w:r>
    </w:p>
    <w:p>
      <w:pPr>
        <w:pStyle w:val="Heading2"/>
        <w:spacing w:after="140" w:before="280"/>
      </w:pPr>
      <w:r>
        <w:rPr>
          <w:rFonts w:ascii="Georgia" w:cs="Georgia" w:eastAsia="Georgia" w:hAnsi="Georgia"/>
          <w:b/>
          <w:bCs/>
          <w:color w:val="1E3A2A"/>
          <w:sz w:val="32"/>
          <w:szCs w:val="32"/>
        </w:rPr>
        <w:t xml:space="preserve">4.2 Typography</w:t>
      </w:r>
    </w:p>
    <w:p>
      <w:pPr>
        <w:pStyle w:val="Heading3"/>
        <w:spacing w:after="100" w:before="200"/>
      </w:pPr>
      <w:r>
        <w:rPr>
          <w:rFonts w:ascii="Calibri" w:cs="Calibri" w:eastAsia="Calibri" w:hAnsi="Calibri"/>
          <w:b/>
          <w:bCs/>
          <w:color w:val="1E3A2A"/>
          <w:sz w:val="26"/>
          <w:szCs w:val="26"/>
        </w:rPr>
        <w:t xml:space="preserve">Display — humanist serif</w:t>
      </w:r>
    </w:p>
    <w:p>
      <w:pPr>
        <w:spacing w:after="120" w:before="0" w:line="320"/>
        <w:jc w:val="left"/>
      </w:pPr>
      <w:r>
        <w:rPr>
          <w:rFonts w:ascii="Calibri" w:cs="Calibri" w:eastAsia="Calibri" w:hAnsi="Calibri"/>
          <w:b w:val="false"/>
          <w:bCs w:val="false"/>
          <w:i w:val="false"/>
          <w:iCs w:val="false"/>
          <w:color w:val="1B1B1B"/>
          <w:sz w:val="22"/>
          <w:szCs w:val="22"/>
        </w:rPr>
        <w:t xml:space="preserve">Primary recommendation: GT Sectra (paid) or Source Serif Pro (free). Both have editorial weight, slight contrast, and feel earned — not decorative. Use for the wordmark, H1s, hero copy, and pull-quotes.</w:t>
      </w:r>
    </w:p>
    <w:p>
      <w:pPr>
        <w:pStyle w:val="Heading3"/>
        <w:spacing w:after="100" w:before="200"/>
      </w:pPr>
      <w:r>
        <w:rPr>
          <w:rFonts w:ascii="Calibri" w:cs="Calibri" w:eastAsia="Calibri" w:hAnsi="Calibri"/>
          <w:b/>
          <w:bCs/>
          <w:color w:val="1E3A2A"/>
          <w:sz w:val="26"/>
          <w:szCs w:val="26"/>
        </w:rPr>
        <w:t xml:space="preserve">Body — modern sans</w:t>
      </w:r>
    </w:p>
    <w:p>
      <w:pPr>
        <w:spacing w:after="120" w:before="0" w:line="320"/>
        <w:jc w:val="left"/>
      </w:pPr>
      <w:r>
        <w:rPr>
          <w:rFonts w:ascii="Calibri" w:cs="Calibri" w:eastAsia="Calibri" w:hAnsi="Calibri"/>
          <w:b w:val="false"/>
          <w:bCs w:val="false"/>
          <w:i w:val="false"/>
          <w:iCs w:val="false"/>
          <w:color w:val="1B1B1B"/>
          <w:sz w:val="22"/>
          <w:szCs w:val="22"/>
        </w:rPr>
        <w:t xml:space="preserve">Primary recommendation: Inter (free) or Söhne (paid). Geometric enough for product UI, humanist enough to sit next to a serif. Use for everything that is not a headline or quote.</w:t>
      </w:r>
    </w:p>
    <w:p>
      <w:pPr>
        <w:pStyle w:val="Heading3"/>
        <w:spacing w:after="100" w:before="200"/>
      </w:pPr>
      <w:r>
        <w:rPr>
          <w:rFonts w:ascii="Calibri" w:cs="Calibri" w:eastAsia="Calibri" w:hAnsi="Calibri"/>
          <w:b/>
          <w:bCs/>
          <w:color w:val="1E3A2A"/>
          <w:sz w:val="26"/>
          <w:szCs w:val="26"/>
        </w:rPr>
        <w:t xml:space="preserve">Type pairing rule</w:t>
      </w:r>
    </w:p>
    <w:p>
      <w:pPr>
        <w:spacing w:after="120" w:before="0" w:line="320"/>
        <w:jc w:val="left"/>
      </w:pPr>
      <w:r>
        <w:rPr>
          <w:rFonts w:ascii="Calibri" w:cs="Calibri" w:eastAsia="Calibri" w:hAnsi="Calibri"/>
          <w:b w:val="false"/>
          <w:bCs w:val="false"/>
          <w:i w:val="false"/>
          <w:iCs w:val="false"/>
          <w:color w:val="1B1B1B"/>
          <w:sz w:val="22"/>
          <w:szCs w:val="22"/>
        </w:rPr>
        <w:t xml:space="preserve">Serif for the promise, sans for the proof. The headline asks the question; the body answers it in a tone the customer can verify. Never set body in serif — it will read as a print ad, not a tool.</w:t>
      </w:r>
    </w:p>
    <w:p>
      <w:pPr>
        <w:pStyle w:val="Heading3"/>
        <w:spacing w:after="100" w:before="200"/>
      </w:pPr>
      <w:r>
        <w:rPr>
          <w:rFonts w:ascii="Calibri" w:cs="Calibri" w:eastAsia="Calibri" w:hAnsi="Calibri"/>
          <w:b/>
          <w:bCs/>
          <w:color w:val="1E3A2A"/>
          <w:sz w:val="26"/>
          <w:szCs w:val="26"/>
        </w:rPr>
        <w:t xml:space="preserve">Modular scale</w:t>
      </w:r>
    </w:p>
    <w:p>
      <w:pPr>
        <w:pStyle w:val="ListParagraph"/>
        <w:numPr>
          <w:ilvl w:val="0"/>
          <w:numId w:val="3"/>
        </w:numPr>
        <w:spacing w:after="80" w:line="300"/>
      </w:pPr>
      <w:r>
        <w:rPr>
          <w:rFonts w:ascii="Calibri" w:cs="Calibri" w:eastAsia="Calibri" w:hAnsi="Calibri"/>
          <w:color w:val="1B1B1B"/>
          <w:sz w:val="22"/>
          <w:szCs w:val="22"/>
        </w:rPr>
        <w:t xml:space="preserve">Display: 60 / 48 / 40 px (1.20 ratio)</w:t>
      </w:r>
    </w:p>
    <w:p>
      <w:pPr>
        <w:pStyle w:val="ListParagraph"/>
        <w:numPr>
          <w:ilvl w:val="0"/>
          <w:numId w:val="3"/>
        </w:numPr>
        <w:spacing w:after="80" w:line="300"/>
      </w:pPr>
      <w:r>
        <w:rPr>
          <w:rFonts w:ascii="Calibri" w:cs="Calibri" w:eastAsia="Calibri" w:hAnsi="Calibri"/>
          <w:color w:val="1B1B1B"/>
          <w:sz w:val="22"/>
          <w:szCs w:val="22"/>
        </w:rPr>
        <w:t xml:space="preserve">Body: 18 / 16 / 14 px (1.125 ratio)</w:t>
      </w:r>
    </w:p>
    <w:p>
      <w:pPr>
        <w:pStyle w:val="ListParagraph"/>
        <w:numPr>
          <w:ilvl w:val="0"/>
          <w:numId w:val="3"/>
        </w:numPr>
        <w:spacing w:after="80" w:line="300"/>
      </w:pPr>
      <w:r>
        <w:rPr>
          <w:rFonts w:ascii="Calibri" w:cs="Calibri" w:eastAsia="Calibri" w:hAnsi="Calibri"/>
          <w:color w:val="1B1B1B"/>
          <w:sz w:val="22"/>
          <w:szCs w:val="22"/>
        </w:rPr>
        <w:t xml:space="preserve">Line-height: 1.15 for display, 1.55 for body</w:t>
      </w:r>
    </w:p>
    <w:p>
      <w:pPr>
        <w:pStyle w:val="ListParagraph"/>
        <w:numPr>
          <w:ilvl w:val="0"/>
          <w:numId w:val="3"/>
        </w:numPr>
        <w:spacing w:after="80" w:line="300"/>
      </w:pPr>
      <w:r>
        <w:rPr>
          <w:rFonts w:ascii="Calibri" w:cs="Calibri" w:eastAsia="Calibri" w:hAnsi="Calibri"/>
          <w:color w:val="1B1B1B"/>
          <w:sz w:val="22"/>
          <w:szCs w:val="22"/>
        </w:rPr>
        <w:t xml:space="preserve">Letter-spacing: -1% on display, 0 on body, +6% on small caps and labels</w:t>
      </w:r>
    </w:p>
    <w:p>
      <w:pPr>
        <w:pStyle w:val="Heading2"/>
        <w:spacing w:after="140" w:before="280"/>
      </w:pPr>
      <w:r>
        <w:rPr>
          <w:rFonts w:ascii="Georgia" w:cs="Georgia" w:eastAsia="Georgia" w:hAnsi="Georgia"/>
          <w:b/>
          <w:bCs/>
          <w:color w:val="1E3A2A"/>
          <w:sz w:val="32"/>
          <w:szCs w:val="32"/>
        </w:rPr>
        <w:t xml:space="preserve">4.3 Logo direction</w:t>
      </w:r>
    </w:p>
    <w:p>
      <w:pPr>
        <w:spacing w:after="120" w:before="0" w:line="320"/>
        <w:jc w:val="left"/>
      </w:pPr>
      <w:r>
        <w:rPr>
          <w:rFonts w:ascii="Calibri" w:cs="Calibri" w:eastAsia="Calibri" w:hAnsi="Calibri"/>
          <w:b w:val="false"/>
          <w:bCs w:val="false"/>
          <w:i w:val="false"/>
          <w:iCs w:val="false"/>
          <w:color w:val="1B1B1B"/>
          <w:sz w:val="22"/>
          <w:szCs w:val="22"/>
        </w:rPr>
        <w:t xml:space="preserve">Three concept directions, in priority order. All three use Paddock Green primary on Arena Cream background. Mark plus wordmark in the lockup; mark stands alone for the app icon, favicon, and Instagram avatar.</w:t>
      </w:r>
    </w:p>
    <w:p>
      <w:pPr>
        <w:pStyle w:val="Heading3"/>
        <w:spacing w:after="100" w:before="200"/>
      </w:pPr>
      <w:r>
        <w:rPr>
          <w:rFonts w:ascii="Calibri" w:cs="Calibri" w:eastAsia="Calibri" w:hAnsi="Calibri"/>
          <w:b/>
          <w:bCs/>
          <w:color w:val="1E3A2A"/>
          <w:sz w:val="26"/>
          <w:szCs w:val="26"/>
        </w:rPr>
        <w:t xml:space="preserve">Direction A — The Arch (Recommended)</w:t>
      </w:r>
    </w:p>
    <w:p>
      <w:pPr>
        <w:spacing w:after="120" w:before="0" w:line="320"/>
        <w:jc w:val="left"/>
      </w:pPr>
      <w:r>
        <w:rPr>
          <w:rFonts w:ascii="Calibri" w:cs="Calibri" w:eastAsia="Calibri" w:hAnsi="Calibri"/>
          <w:b w:val="false"/>
          <w:bCs w:val="false"/>
          <w:i w:val="false"/>
          <w:iCs w:val="false"/>
          <w:color w:val="1B1B1B"/>
          <w:sz w:val="22"/>
          <w:szCs w:val="22"/>
        </w:rPr>
        <w:t xml:space="preserve">Wordmark in custom serif (modified GT Sectra). Mark: a stylised horseshoe drawn as a geometric arch — open at the bottom, two equal verticals, single horizontal cap. Reads as a horseshoe to equestrians and as a doorway / portal to non-equestrians. Carries luck, threshold, and entry — three brand-true ideas. Works at favicon size (16×16). Engraves cleanly on saddle leather, embroiders cleanly on a saddle pad, and prints cleanly on a single-color invoice footer.</w:t>
      </w:r>
    </w:p>
    <w:p>
      <w:pPr>
        <w:pStyle w:val="Heading3"/>
        <w:spacing w:after="100" w:before="200"/>
      </w:pPr>
      <w:r>
        <w:rPr>
          <w:rFonts w:ascii="Calibri" w:cs="Calibri" w:eastAsia="Calibri" w:hAnsi="Calibri"/>
          <w:b/>
          <w:bCs/>
          <w:color w:val="1E3A2A"/>
          <w:sz w:val="26"/>
          <w:szCs w:val="26"/>
        </w:rPr>
        <w:t xml:space="preserve">Direction B — The Withers Mark</w:t>
      </w:r>
    </w:p>
    <w:p>
      <w:pPr>
        <w:spacing w:after="120" w:before="0" w:line="320"/>
        <w:jc w:val="left"/>
      </w:pPr>
      <w:r>
        <w:rPr>
          <w:rFonts w:ascii="Calibri" w:cs="Calibri" w:eastAsia="Calibri" w:hAnsi="Calibri"/>
          <w:b w:val="false"/>
          <w:bCs w:val="false"/>
          <w:i w:val="false"/>
          <w:iCs w:val="false"/>
          <w:color w:val="1B1B1B"/>
          <w:sz w:val="22"/>
          <w:szCs w:val="22"/>
        </w:rPr>
        <w:t xml:space="preserve">Pure wordmark, no icon. The lowercase "h" or "b" carries a custom ligature where the stem subtly evokes the curve of a horse's withers (the ridge above the shoulder). Most premium-classic of the three. Risk: needs to be paired with a separate app icon (often a square Brick Red "H") because the ligature reads only at large sizes.</w:t>
      </w:r>
    </w:p>
    <w:p>
      <w:pPr>
        <w:pStyle w:val="Heading3"/>
        <w:spacing w:after="100" w:before="200"/>
      </w:pPr>
      <w:r>
        <w:rPr>
          <w:rFonts w:ascii="Calibri" w:cs="Calibri" w:eastAsia="Calibri" w:hAnsi="Calibri"/>
          <w:b/>
          <w:bCs/>
          <w:color w:val="1E3A2A"/>
          <w:sz w:val="26"/>
          <w:szCs w:val="26"/>
        </w:rPr>
        <w:t xml:space="preserve">Direction C — The Rein Line</w:t>
      </w:r>
    </w:p>
    <w:p>
      <w:pPr>
        <w:spacing w:after="120" w:before="0" w:line="320"/>
        <w:jc w:val="left"/>
      </w:pPr>
      <w:r>
        <w:rPr>
          <w:rFonts w:ascii="Calibri" w:cs="Calibri" w:eastAsia="Calibri" w:hAnsi="Calibri"/>
          <w:b w:val="false"/>
          <w:bCs w:val="false"/>
          <w:i w:val="false"/>
          <w:iCs w:val="false"/>
          <w:color w:val="1B1B1B"/>
          <w:sz w:val="22"/>
          <w:szCs w:val="22"/>
        </w:rPr>
        <w:t xml:space="preserve">Wordmark with a single horizontal hairline beneath, evoking a rein, a paddock fence, or a riding-school whiteboard. Quietly equestrian without literal horse imagery. Use if the founder wants the brand to look more like a Linear-tier B2B SaaS than a vertical equestrian product.</w:t>
      </w:r>
    </w:p>
    <w:p>
      <w:pPr>
        <w:pStyle w:val="Heading3"/>
        <w:spacing w:after="100" w:before="200"/>
      </w:pPr>
      <w:r>
        <w:rPr>
          <w:rFonts w:ascii="Calibri" w:cs="Calibri" w:eastAsia="Calibri" w:hAnsi="Calibri"/>
          <w:b/>
          <w:bCs/>
          <w:color w:val="1E3A2A"/>
          <w:sz w:val="26"/>
          <w:szCs w:val="26"/>
        </w:rPr>
        <w:t xml:space="preserve">Recommendation</w:t>
      </w:r>
    </w:p>
    <w:p>
      <w:pPr>
        <w:spacing w:after="120" w:before="0" w:line="320"/>
        <w:jc w:val="left"/>
      </w:pPr>
      <w:r>
        <w:rPr>
          <w:rFonts w:ascii="Calibri" w:cs="Calibri" w:eastAsia="Calibri" w:hAnsi="Calibri"/>
          <w:b/>
          <w:bCs/>
          <w:i w:val="false"/>
          <w:iCs w:val="false"/>
          <w:color w:val="1B1B1B"/>
          <w:sz w:val="22"/>
          <w:szCs w:val="22"/>
        </w:rPr>
        <w:t xml:space="preserve">Pick Direction A. The horseshoe-arch mark gives you an icon that owns the app screen and the Instagram grid, while the serif wordmark earns the premium tier the pricing strategy depends on. Direction B is the back-up if A trademarks foul; Direction C is the back-up if you decide later that the brand wants to sit closer to horizontal SaaS tools.</w:t>
      </w:r>
    </w:p>
    <w:p>
      <w:pPr>
        <w:pStyle w:val="Heading2"/>
        <w:spacing w:after="140" w:before="280"/>
      </w:pPr>
      <w:r>
        <w:rPr>
          <w:rFonts w:ascii="Georgia" w:cs="Georgia" w:eastAsia="Georgia" w:hAnsi="Georgia"/>
          <w:b/>
          <w:bCs/>
          <w:color w:val="1E3A2A"/>
          <w:sz w:val="32"/>
          <w:szCs w:val="32"/>
        </w:rPr>
        <w:t xml:space="preserve">4.4 Photography and grid</w:t>
      </w:r>
    </w:p>
    <w:p>
      <w:pPr>
        <w:spacing w:after="120" w:before="0" w:line="320"/>
        <w:jc w:val="left"/>
      </w:pPr>
      <w:r>
        <w:rPr>
          <w:rFonts w:ascii="Calibri" w:cs="Calibri" w:eastAsia="Calibri" w:hAnsi="Calibri"/>
          <w:b w:val="false"/>
          <w:bCs w:val="false"/>
          <w:i w:val="false"/>
          <w:iCs w:val="false"/>
          <w:color w:val="1B1B1B"/>
          <w:sz w:val="22"/>
          <w:szCs w:val="22"/>
        </w:rPr>
        <w:t xml:space="preserve">Two rules, no exceptions:</w:t>
      </w:r>
    </w:p>
    <w:p>
      <w:pPr>
        <w:pStyle w:val="ListParagraph"/>
        <w:numPr>
          <w:ilvl w:val="0"/>
          <w:numId w:val="2"/>
        </w:numPr>
        <w:spacing w:after="80" w:line="300"/>
      </w:pPr>
      <w:r>
        <w:rPr>
          <w:rFonts w:ascii="Calibri" w:cs="Calibri" w:eastAsia="Calibri" w:hAnsi="Calibri"/>
          <w:color w:val="1B1B1B"/>
          <w:sz w:val="22"/>
          <w:szCs w:val="22"/>
        </w:rPr>
        <w:t xml:space="preserve">Photography is documentary, not stock. Real horses, real stables, founder's yard first. No glamour shots, no slow-motion mane in golden hour. The brand looks credible because the photos look like a working day, not a brochure.</w:t>
      </w:r>
    </w:p>
    <w:p>
      <w:pPr>
        <w:pStyle w:val="ListParagraph"/>
        <w:numPr>
          <w:ilvl w:val="0"/>
          <w:numId w:val="2"/>
        </w:numPr>
        <w:spacing w:after="80" w:line="300"/>
      </w:pPr>
      <w:r>
        <w:rPr>
          <w:rFonts w:ascii="Calibri" w:cs="Calibri" w:eastAsia="Calibri" w:hAnsi="Calibri"/>
          <w:color w:val="1B1B1B"/>
          <w:sz w:val="22"/>
          <w:szCs w:val="22"/>
        </w:rPr>
        <w:t xml:space="preserve">Composition uses negative space the way a clean arena uses sand. 60 / 30 / 10 rule: 60% calm space (cream or green), 30% subject (horse, person, screen), 10% accent (Saddle Tan detail).</w:t>
      </w:r>
    </w:p>
    <w:p>
      <w:pPr>
        <w:pStyle w:val="Heading2"/>
        <w:spacing w:after="140" w:before="280"/>
      </w:pPr>
      <w:r>
        <w:rPr>
          <w:rFonts w:ascii="Georgia" w:cs="Georgia" w:eastAsia="Georgia" w:hAnsi="Georgia"/>
          <w:b/>
          <w:bCs/>
          <w:color w:val="1E3A2A"/>
          <w:sz w:val="32"/>
          <w:szCs w:val="32"/>
        </w:rPr>
        <w:t xml:space="preserve">4.5 What the brand never looks like</w:t>
      </w:r>
    </w:p>
    <w:p>
      <w:pPr>
        <w:pStyle w:val="ListParagraph"/>
        <w:numPr>
          <w:ilvl w:val="0"/>
          <w:numId w:val="3"/>
        </w:numPr>
        <w:spacing w:after="80" w:line="300"/>
      </w:pPr>
      <w:r>
        <w:rPr>
          <w:rFonts w:ascii="Calibri" w:cs="Calibri" w:eastAsia="Calibri" w:hAnsi="Calibri"/>
          <w:color w:val="1B1B1B"/>
          <w:sz w:val="22"/>
          <w:szCs w:val="22"/>
        </w:rPr>
        <w:t xml:space="preserve">Generic SaaS purple-and-blue gradients.</w:t>
      </w:r>
    </w:p>
    <w:p>
      <w:pPr>
        <w:pStyle w:val="ListParagraph"/>
        <w:numPr>
          <w:ilvl w:val="0"/>
          <w:numId w:val="3"/>
        </w:numPr>
        <w:spacing w:after="80" w:line="300"/>
      </w:pPr>
      <w:r>
        <w:rPr>
          <w:rFonts w:ascii="Calibri" w:cs="Calibri" w:eastAsia="Calibri" w:hAnsi="Calibri"/>
          <w:color w:val="1B1B1B"/>
          <w:sz w:val="22"/>
          <w:szCs w:val="22"/>
        </w:rPr>
        <w:t xml:space="preserve">Western iconography — cowboy hats, lassos, US-ranch motifs.</w:t>
      </w:r>
    </w:p>
    <w:p>
      <w:pPr>
        <w:pStyle w:val="ListParagraph"/>
        <w:numPr>
          <w:ilvl w:val="0"/>
          <w:numId w:val="3"/>
        </w:numPr>
        <w:spacing w:after="80" w:line="300"/>
      </w:pPr>
      <w:r>
        <w:rPr>
          <w:rFonts w:ascii="Calibri" w:cs="Calibri" w:eastAsia="Calibri" w:hAnsi="Calibri"/>
          <w:color w:val="1B1B1B"/>
          <w:sz w:val="22"/>
          <w:szCs w:val="22"/>
        </w:rPr>
        <w:t xml:space="preserve">Cute illustrated horses with eyelashes.</w:t>
      </w:r>
    </w:p>
    <w:p>
      <w:pPr>
        <w:pStyle w:val="ListParagraph"/>
        <w:numPr>
          <w:ilvl w:val="0"/>
          <w:numId w:val="3"/>
        </w:numPr>
        <w:spacing w:after="80" w:line="300"/>
      </w:pPr>
      <w:r>
        <w:rPr>
          <w:rFonts w:ascii="Calibri" w:cs="Calibri" w:eastAsia="Calibri" w:hAnsi="Calibri"/>
          <w:color w:val="1B1B1B"/>
          <w:sz w:val="22"/>
          <w:szCs w:val="22"/>
        </w:rPr>
        <w:t xml:space="preserve">Tech-bro screenshots with eight charts on a homepage.</w:t>
      </w:r>
    </w:p>
    <w:p>
      <w:pPr>
        <w:pStyle w:val="ListParagraph"/>
        <w:numPr>
          <w:ilvl w:val="0"/>
          <w:numId w:val="3"/>
        </w:numPr>
        <w:spacing w:after="80" w:line="300"/>
      </w:pPr>
      <w:r>
        <w:rPr>
          <w:rFonts w:ascii="Calibri" w:cs="Calibri" w:eastAsia="Calibri" w:hAnsi="Calibri"/>
          <w:color w:val="1B1B1B"/>
          <w:sz w:val="22"/>
          <w:szCs w:val="22"/>
        </w:rPr>
        <w:t xml:space="preserve">Anything that looks like a 2008 horse-club website.</w:t>
      </w:r>
    </w:p>
    <w:p>
      <w:pPr>
        <w:pBdr>
          <w:bottom w:val="single" w:color="C9BFAE" w:sz="6" w:space="4"/>
        </w:pBdr>
        <w:spacing w:after="200" w:before="200"/>
      </w:pPr>
      <w:r>
        <w:t xml:space="preserve"/>
      </w:r>
    </w:p>
    <w:p>
      <w:pPr>
        <w:pStyle w:val="Heading1"/>
        <w:spacing w:after="200" w:before="360"/>
      </w:pPr>
      <w:r>
        <w:rPr>
          <w:rFonts w:ascii="Georgia" w:cs="Georgia" w:eastAsia="Georgia" w:hAnsi="Georgia"/>
          <w:b/>
          <w:bCs/>
          <w:color w:val="1E3A2A"/>
          <w:sz w:val="44"/>
          <w:szCs w:val="44"/>
        </w:rPr>
        <w:t xml:space="preserve">5. Brand in Use — Reference Examples</w:t>
      </w:r>
    </w:p>
    <w:p>
      <w:pPr>
        <w:pStyle w:val="Heading2"/>
        <w:spacing w:after="140" w:before="280"/>
      </w:pPr>
      <w:r>
        <w:rPr>
          <w:rFonts w:ascii="Georgia" w:cs="Georgia" w:eastAsia="Georgia" w:hAnsi="Georgia"/>
          <w:b/>
          <w:bCs/>
          <w:color w:val="1E3A2A"/>
          <w:sz w:val="32"/>
          <w:szCs w:val="32"/>
        </w:rPr>
        <w:t xml:space="preserve">5.1 Homepage hero — copy block</w:t>
      </w:r>
    </w:p>
    <w:p>
      <w:pPr>
        <w:pBdr>
          <w:left w:val="single" w:color="B5793E" w:sz="18" w:space="12"/>
        </w:pBdr>
        <w:spacing w:after="200" w:before="100" w:line="360"/>
        <w:ind w:left="480"/>
      </w:pPr>
      <w:r>
        <w:rPr>
          <w:rFonts w:ascii="Georgia" w:cs="Georgia" w:eastAsia="Georgia" w:hAnsi="Georgia"/>
          <w:i/>
          <w:iCs/>
          <w:color w:val="3F3527"/>
          <w:sz w:val="24"/>
          <w:szCs w:val="24"/>
        </w:rPr>
        <w:t xml:space="preserve">Run the yard. Protect the horses.
Hoofbeat is the stable management tool built in Europe, by stable people. Schedule lessons, send invoices, and watch horse workload — on one screen, in your language, on your phone.
Start free for 14 days · No card required</w:t>
      </w:r>
    </w:p>
    <w:p>
      <w:pPr>
        <w:pStyle w:val="Heading2"/>
        <w:spacing w:after="140" w:before="280"/>
      </w:pPr>
      <w:r>
        <w:rPr>
          <w:rFonts w:ascii="Georgia" w:cs="Georgia" w:eastAsia="Georgia" w:hAnsi="Georgia"/>
          <w:b/>
          <w:bCs/>
          <w:color w:val="1E3A2A"/>
          <w:sz w:val="32"/>
          <w:szCs w:val="32"/>
        </w:rPr>
        <w:t xml:space="preserve">5.2 Instagram bio (EN-first launch)</w:t>
      </w:r>
    </w:p>
    <w:p>
      <w:pPr>
        <w:pBdr>
          <w:left w:val="single" w:color="B5793E" w:sz="18" w:space="12"/>
        </w:pBdr>
        <w:spacing w:after="200" w:before="100" w:line="360"/>
        <w:ind w:left="480"/>
      </w:pPr>
      <w:r>
        <w:rPr>
          <w:rFonts w:ascii="Georgia" w:cs="Georgia" w:eastAsia="Georgia" w:hAnsi="Georgia"/>
          <w:i/>
          <w:iCs/>
          <w:color w:val="3F3527"/>
          <w:sz w:val="24"/>
          <w:szCs w:val="24"/>
        </w:rPr>
        <w:t xml:space="preserve">Hoofbeat — stable management software, made in the saddle.
Built in Lithuania for European yards. 14-day free trial → hoofbeat.eu</w:t>
      </w:r>
    </w:p>
    <w:p>
      <w:pPr>
        <w:pStyle w:val="Heading2"/>
        <w:spacing w:after="140" w:before="280"/>
      </w:pPr>
      <w:r>
        <w:rPr>
          <w:rFonts w:ascii="Georgia" w:cs="Georgia" w:eastAsia="Georgia" w:hAnsi="Georgia"/>
          <w:b/>
          <w:bCs/>
          <w:color w:val="1E3A2A"/>
          <w:sz w:val="32"/>
          <w:szCs w:val="32"/>
        </w:rPr>
        <w:t xml:space="preserve">5.3 Cold email opener (Baltic stable owner, EN)</w:t>
      </w:r>
    </w:p>
    <w:p>
      <w:pPr>
        <w:pBdr>
          <w:left w:val="single" w:color="B5793E" w:sz="18" w:space="12"/>
        </w:pBdr>
        <w:spacing w:after="200" w:before="100" w:line="360"/>
        <w:ind w:left="480"/>
      </w:pPr>
      <w:r>
        <w:rPr>
          <w:rFonts w:ascii="Georgia" w:cs="Georgia" w:eastAsia="Georgia" w:hAnsi="Georgia"/>
          <w:i/>
          <w:iCs/>
          <w:color w:val="3F3527"/>
          <w:sz w:val="24"/>
          <w:szCs w:val="24"/>
        </w:rPr>
        <w:t xml:space="preserve">Hi [Name],
I run a stable in [Lithuania]. Last winter I lost track of two invoices and almost missed a colic call because all of it lived in WhatsApp. So I built the tool I wish I had.
It is called Hoofbeat. 30 minutes to set up, €49 a month, and you can stop paying for the chaos. Mind a 90-second Loom?</w:t>
      </w:r>
    </w:p>
    <w:p>
      <w:pPr>
        <w:pStyle w:val="Heading2"/>
        <w:spacing w:after="140" w:before="280"/>
      </w:pPr>
      <w:r>
        <w:rPr>
          <w:rFonts w:ascii="Georgia" w:cs="Georgia" w:eastAsia="Georgia" w:hAnsi="Georgia"/>
          <w:b/>
          <w:bCs/>
          <w:color w:val="1E3A2A"/>
          <w:sz w:val="32"/>
          <w:szCs w:val="32"/>
        </w:rPr>
        <w:t xml:space="preserve">5.4 App store / product description (one paragraph)</w:t>
      </w:r>
    </w:p>
    <w:p>
      <w:pPr>
        <w:pBdr>
          <w:left w:val="single" w:color="B5793E" w:sz="18" w:space="12"/>
        </w:pBdr>
        <w:spacing w:after="200" w:before="100" w:line="360"/>
        <w:ind w:left="480"/>
      </w:pPr>
      <w:r>
        <w:rPr>
          <w:rFonts w:ascii="Georgia" w:cs="Georgia" w:eastAsia="Georgia" w:hAnsi="Georgia"/>
          <w:i/>
          <w:iCs/>
          <w:color w:val="3F3527"/>
          <w:sz w:val="24"/>
          <w:szCs w:val="24"/>
        </w:rPr>
        <w:t xml:space="preserve">Hoofbeat is the European stable management tool for riding schools and livery yards with 15–40 horses. Schedule lessons, track payments, and protect horse workload — all in one place, in Lithuanian, Polish, German, and English. Built by a stable owner. SEPA, GDPR, mobile-first.</w:t>
      </w:r>
    </w:p>
    <w:p>
      <w:pPr>
        <w:pStyle w:val="Heading2"/>
        <w:spacing w:after="140" w:before="280"/>
      </w:pPr>
      <w:r>
        <w:rPr>
          <w:rFonts w:ascii="Georgia" w:cs="Georgia" w:eastAsia="Georgia" w:hAnsi="Georgia"/>
          <w:b/>
          <w:bCs/>
          <w:color w:val="1E3A2A"/>
          <w:sz w:val="32"/>
          <w:szCs w:val="32"/>
        </w:rPr>
        <w:t xml:space="preserve">5.5 Out-of-office voice for the founder</w:t>
      </w:r>
    </w:p>
    <w:p>
      <w:pPr>
        <w:pBdr>
          <w:left w:val="single" w:color="B5793E" w:sz="18" w:space="12"/>
        </w:pBdr>
        <w:spacing w:after="200" w:before="100" w:line="360"/>
        <w:ind w:left="480"/>
      </w:pPr>
      <w:r>
        <w:rPr>
          <w:rFonts w:ascii="Georgia" w:cs="Georgia" w:eastAsia="Georgia" w:hAnsi="Georgia"/>
          <w:i/>
          <w:iCs/>
          <w:color w:val="3F3527"/>
          <w:sz w:val="24"/>
          <w:szCs w:val="24"/>
        </w:rPr>
        <w:t xml:space="preserve">I run Hoofbeat out of a working stable, so my reply window is morning before turnout (07:00–08:00 EET) and evening after the last lesson (20:00–21:00). Anything urgent — call. The number is at the bottom of this email.</w:t>
      </w:r>
    </w:p>
    <w:p>
      <w:pPr>
        <w:pBdr>
          <w:bottom w:val="single" w:color="C9BFAE" w:sz="6" w:space="4"/>
        </w:pBdr>
        <w:spacing w:after="200" w:before="200"/>
      </w:pPr>
      <w:r>
        <w:t xml:space="preserve"/>
      </w:r>
    </w:p>
    <w:p>
      <w:pPr>
        <w:pStyle w:val="Heading1"/>
        <w:spacing w:after="200" w:before="360"/>
      </w:pPr>
      <w:r>
        <w:rPr>
          <w:rFonts w:ascii="Georgia" w:cs="Georgia" w:eastAsia="Georgia" w:hAnsi="Georgia"/>
          <w:b/>
          <w:bCs/>
          <w:color w:val="1E3A2A"/>
          <w:sz w:val="44"/>
          <w:szCs w:val="44"/>
        </w:rPr>
        <w:t xml:space="preserve">6. Decisions to Lock This Week</w:t>
      </w:r>
    </w:p>
    <w:p>
      <w:pPr>
        <w:spacing w:after="120" w:before="0" w:line="320"/>
        <w:jc w:val="left"/>
      </w:pPr>
      <w:r>
        <w:rPr>
          <w:rFonts w:ascii="Calibri" w:cs="Calibri" w:eastAsia="Calibri" w:hAnsi="Calibri"/>
          <w:b w:val="false"/>
          <w:bCs w:val="false"/>
          <w:i w:val="false"/>
          <w:iCs w:val="false"/>
          <w:color w:val="1B1B1B"/>
          <w:sz w:val="22"/>
          <w:szCs w:val="22"/>
        </w:rPr>
        <w:t xml:space="preserve">Six concrete decisions, all of which need to happen before any logo file is exported, any domain is bought, or any social account is named. Block 90 minutes; do them in this order.</w:t>
      </w:r>
    </w:p>
    <w:p>
      <w:pPr>
        <w:pStyle w:val="ListParagraph"/>
        <w:numPr>
          <w:ilvl w:val="0"/>
          <w:numId w:val="2"/>
        </w:numPr>
        <w:spacing w:after="80" w:line="300"/>
      </w:pPr>
      <w:r>
        <w:rPr>
          <w:rFonts w:ascii="Calibri" w:cs="Calibri" w:eastAsia="Calibri" w:hAnsi="Calibri"/>
          <w:color w:val="1B1B1B"/>
          <w:sz w:val="22"/>
          <w:szCs w:val="22"/>
        </w:rPr>
        <w:t xml:space="preserve">Pick the name. Run Hoofbeat through the five-test checklist on page two. If it passes, ship it.</w:t>
      </w:r>
    </w:p>
    <w:p>
      <w:pPr>
        <w:pStyle w:val="ListParagraph"/>
        <w:numPr>
          <w:ilvl w:val="0"/>
          <w:numId w:val="2"/>
        </w:numPr>
        <w:spacing w:after="80" w:line="300"/>
      </w:pPr>
      <w:r>
        <w:rPr>
          <w:rFonts w:ascii="Calibri" w:cs="Calibri" w:eastAsia="Calibri" w:hAnsi="Calibri"/>
          <w:color w:val="1B1B1B"/>
          <w:sz w:val="22"/>
          <w:szCs w:val="22"/>
        </w:rPr>
        <w:t xml:space="preserve">Buy the domain stack. .com, .eu, .lt at minimum. Ideally also .pl and .de. Budget: up to €1,500.</w:t>
      </w:r>
    </w:p>
    <w:p>
      <w:pPr>
        <w:pStyle w:val="ListParagraph"/>
        <w:numPr>
          <w:ilvl w:val="0"/>
          <w:numId w:val="2"/>
        </w:numPr>
        <w:spacing w:after="80" w:line="300"/>
      </w:pPr>
      <w:r>
        <w:rPr>
          <w:rFonts w:ascii="Calibri" w:cs="Calibri" w:eastAsia="Calibri" w:hAnsi="Calibri"/>
          <w:color w:val="1B1B1B"/>
          <w:sz w:val="22"/>
          <w:szCs w:val="22"/>
        </w:rPr>
        <w:t xml:space="preserve">File the trademark search. EUIPO + LT-VPB at minimum. Lawyer review of one hour: €150–€250.</w:t>
      </w:r>
    </w:p>
    <w:p>
      <w:pPr>
        <w:pStyle w:val="ListParagraph"/>
        <w:numPr>
          <w:ilvl w:val="0"/>
          <w:numId w:val="2"/>
        </w:numPr>
        <w:spacing w:after="80" w:line="300"/>
      </w:pPr>
      <w:r>
        <w:rPr>
          <w:rFonts w:ascii="Calibri" w:cs="Calibri" w:eastAsia="Calibri" w:hAnsi="Calibri"/>
          <w:color w:val="1B1B1B"/>
          <w:sz w:val="22"/>
          <w:szCs w:val="22"/>
        </w:rPr>
        <w:t xml:space="preserve">Lock the colour and type system. Save the six hex codes and two font families to a brand.json the design tools read from. No exceptions, no "just this once."</w:t>
      </w:r>
    </w:p>
    <w:p>
      <w:pPr>
        <w:pStyle w:val="ListParagraph"/>
        <w:numPr>
          <w:ilvl w:val="0"/>
          <w:numId w:val="2"/>
        </w:numPr>
        <w:spacing w:after="80" w:line="300"/>
      </w:pPr>
      <w:r>
        <w:rPr>
          <w:rFonts w:ascii="Calibri" w:cs="Calibri" w:eastAsia="Calibri" w:hAnsi="Calibri"/>
          <w:color w:val="1B1B1B"/>
          <w:sz w:val="22"/>
          <w:szCs w:val="22"/>
        </w:rPr>
        <w:t xml:space="preserve">Commission the logo. One designer, two rounds, fixed price (€600–€1,200). Direction A first; Direction C only if A fails.</w:t>
      </w:r>
    </w:p>
    <w:p>
      <w:pPr>
        <w:pStyle w:val="ListParagraph"/>
        <w:numPr>
          <w:ilvl w:val="0"/>
          <w:numId w:val="2"/>
        </w:numPr>
        <w:spacing w:after="80" w:line="300"/>
      </w:pPr>
      <w:r>
        <w:rPr>
          <w:rFonts w:ascii="Calibri" w:cs="Calibri" w:eastAsia="Calibri" w:hAnsi="Calibri"/>
          <w:color w:val="1B1B1B"/>
          <w:sz w:val="22"/>
          <w:szCs w:val="22"/>
        </w:rPr>
        <w:t xml:space="preserve">Reserve the social handles. @hoofbeat on Instagram, YouTube, LinkedIn, TikTok (claim, do not post), X. Same handle everywhere; if not available, fall back to @hoofbeat.eu.</w:t>
      </w:r>
    </w:p>
    <w:p>
      <w:pPr>
        <w:pStyle w:val="Heading3"/>
        <w:spacing w:after="100" w:before="200"/>
      </w:pPr>
      <w:r>
        <w:rPr>
          <w:rFonts w:ascii="Calibri" w:cs="Calibri" w:eastAsia="Calibri" w:hAnsi="Calibri"/>
          <w:b/>
          <w:bCs/>
          <w:color w:val="1E3A2A"/>
          <w:sz w:val="26"/>
          <w:szCs w:val="26"/>
        </w:rPr>
        <w:t xml:space="preserve">What success looks like in 14 days</w:t>
      </w:r>
    </w:p>
    <w:p>
      <w:pPr>
        <w:spacing w:after="120" w:before="0" w:line="320"/>
        <w:jc w:val="left"/>
      </w:pPr>
      <w:r>
        <w:rPr>
          <w:rFonts w:ascii="Calibri" w:cs="Calibri" w:eastAsia="Calibri" w:hAnsi="Calibri"/>
          <w:b w:val="false"/>
          <w:bCs w:val="false"/>
          <w:i w:val="false"/>
          <w:iCs w:val="false"/>
          <w:color w:val="1B1B1B"/>
          <w:sz w:val="22"/>
          <w:szCs w:val="22"/>
        </w:rPr>
        <w:t xml:space="preserve">Name committed. Domain owned. Logo in two formats (SVG + PNG), light and dark. Six hex codes and two font files in a Figma library. Instagram bio live with manifesto and trial CTA. Cold-email template tested with five Baltic stables.</w:t>
      </w:r>
    </w:p>
    <w:p>
      <w:pPr>
        <w:pStyle w:val="Heading3"/>
        <w:spacing w:after="100" w:before="200"/>
      </w:pPr>
      <w:r>
        <w:rPr>
          <w:rFonts w:ascii="Calibri" w:cs="Calibri" w:eastAsia="Calibri" w:hAnsi="Calibri"/>
          <w:b/>
          <w:bCs/>
          <w:color w:val="1E3A2A"/>
          <w:sz w:val="26"/>
          <w:szCs w:val="26"/>
        </w:rPr>
        <w:t xml:space="preserve">What we build next, after this is locked</w:t>
      </w:r>
    </w:p>
    <w:p>
      <w:pPr>
        <w:spacing w:after="120" w:before="0" w:line="320"/>
        <w:jc w:val="left"/>
      </w:pPr>
      <w:r>
        <w:rPr>
          <w:rFonts w:ascii="Calibri" w:cs="Calibri" w:eastAsia="Calibri" w:hAnsi="Calibri"/>
          <w:b w:val="false"/>
          <w:bCs w:val="false"/>
          <w:i/>
          <w:iCs/>
          <w:color w:val="6E6760"/>
          <w:sz w:val="22"/>
          <w:szCs w:val="22"/>
        </w:rPr>
        <w:t xml:space="preserve">Phase 2 of this engagement: 90-day go-to-market plan, content calendar (Instagram + YouTube + email), waitlist landing page, and the design-partner outreach script. Brand without distribution is decoration. Distribution is the next document.</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6E6760"/>
        <w:sz w:val="16"/>
        <w:szCs w:val="16"/>
      </w:rPr>
      <w:t xml:space="preserve">April 2026 · Andreja Adaranda · </w:t>
    </w:r>
    <w:r>
      <w:rPr>
        <w:rFonts w:ascii="Calibri" w:cs="Calibri" w:eastAsia="Calibri" w:hAnsi="Calibri"/>
        <w:color w:val="6E6760"/>
        <w:sz w:val="16"/>
        <w:szCs w:val="16"/>
      </w:rPr>
      <w:fldChar w:fldCharType="begin"/>
      <w:instrText xml:space="preserve">PAGE</w:instrText>
      <w:fldChar w:fldCharType="separate"/>
      <w:fldChar w:fldCharType="end"/>
    </w:r>
    <w:r>
      <w:rPr>
        <w:rFonts w:ascii="Calibri" w:cs="Calibri" w:eastAsia="Calibri" w:hAnsi="Calibri"/>
        <w:color w:val="6E6760"/>
        <w:sz w:val="16"/>
        <w:szCs w:val="16"/>
      </w:rPr>
      <w:t xml:space="preserve"> / </w:t>
    </w:r>
    <w:r>
      <w:rPr>
        <w:rFonts w:ascii="Calibri" w:cs="Calibri" w:eastAsia="Calibri" w:hAnsi="Calibri"/>
        <w:color w:val="6E676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left"/>
    </w:pPr>
    <w:r>
      <w:rPr>
        <w:rFonts w:ascii="Calibri" w:cs="Calibri" w:eastAsia="Calibri" w:hAnsi="Calibri"/>
        <w:color w:val="6E6760"/>
        <w:spacing w:val="60"/>
        <w:sz w:val="16"/>
        <w:szCs w:val="16"/>
      </w:rPr>
      <w:t xml:space="preserve">HOOFBEAT  ·  BRAND FOUNDATION  ·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80"/>
      </w:pPr>
    </w:lvl>
  </w:abstractNum>
  <w:abstractNum w:abstractNumId="3" w15:restartNumberingAfterBreak="0">
    <w:multiLevelType w:val="hybridMultilevel"/>
    <w:lvl w:ilvl="0" w15:tentative="1">
      <w:start w:val="1"/>
      <w:numFmt w:val="decimal"/>
      <w:lvlText w:val="%1."/>
      <w:lvlJc w:val="left"/>
      <w:pPr>
        <w:ind w:left="480" w:hanging="28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20" w:before="400"/>
      <w:outlineLvl w:val="0"/>
    </w:pPr>
    <w:rPr>
      <w:rFonts w:ascii="Georgia" w:cs="Georgia" w:eastAsia="Georgia" w:hAnsi="Georgia"/>
      <w:b/>
      <w:bCs/>
      <w:color w:val="1E3A2A"/>
      <w:sz w:val="44"/>
      <w:szCs w:val="44"/>
    </w:rPr>
  </w:style>
  <w:style w:type="paragraph" w:styleId="Heading2">
    <w:name w:val="Heading 2"/>
    <w:basedOn w:val="Normal"/>
    <w:next w:val="Normal"/>
    <w:qFormat/>
    <w:pPr>
      <w:spacing w:after="140" w:before="280"/>
      <w:outlineLvl w:val="1"/>
    </w:pPr>
    <w:rPr>
      <w:rFonts w:ascii="Georgia" w:cs="Georgia" w:eastAsia="Georgia" w:hAnsi="Georgia"/>
      <w:b/>
      <w:bCs/>
      <w:color w:val="1E3A2A"/>
      <w:sz w:val="32"/>
      <w:szCs w:val="32"/>
    </w:rPr>
  </w:style>
  <w:style w:type="paragraph" w:styleId="Heading3">
    <w:name w:val="Heading 3"/>
    <w:basedOn w:val="Normal"/>
    <w:next w:val="Normal"/>
    <w:qFormat/>
    <w:pPr>
      <w:spacing w:after="100" w:before="200"/>
      <w:outlineLvl w:val="2"/>
    </w:pPr>
    <w:rPr>
      <w:rFonts w:ascii="Calibri" w:cs="Calibri" w:eastAsia="Calibri" w:hAnsi="Calibri"/>
      <w:b/>
      <w:bCs/>
      <w:color w:val="1E3A2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Hoofbeat — Brand Foundation v1.0</dc:title>
  <dc:creator>Hoofbeat / Stable OS</dc:creator>
  <dc:description>Naming, positioning, voice, and visual identity for an EU-native equestrian SaaS.</dc:description>
  <cp:lastModifiedBy>Un-named</cp:lastModifiedBy>
  <cp:revision>1</cp:revision>
  <dcterms:created xsi:type="dcterms:W3CDTF">2026-04-29T08:33:38.391Z</dcterms:created>
  <dcterms:modified xsi:type="dcterms:W3CDTF">2026-04-29T08:33:38.391Z</dcterms:modified>
</cp:coreProperties>
</file>

<file path=docProps/custom.xml><?xml version="1.0" encoding="utf-8"?>
<Properties xmlns="http://schemas.openxmlformats.org/officeDocument/2006/custom-properties" xmlns:vt="http://schemas.openxmlformats.org/officeDocument/2006/docPropsVTypes"/>
</file>