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F4E78"/>
          <w:sz w:val="56"/>
        </w:rPr>
        <w:t>C++ Rates Derivatives and</w:t>
        <w:br/>
        <w:t>Structured Products Platform</w:t>
      </w:r>
    </w:p>
    <w:p>
      <w:pPr>
        <w:jc w:val="center"/>
      </w:pPr>
      <w:r>
        <w:rPr>
          <w:color w:val="4B5563"/>
          <w:sz w:val="32"/>
        </w:rPr>
        <w:t>Structure, Architecture and Full Functionality Specification</w:t>
      </w:r>
    </w:p>
    <w:p>
      <w:pPr>
        <w:spacing w:before="480"/>
        <w:jc w:val="center"/>
      </w:pPr>
      <w:r>
        <w:rPr>
          <w:i/>
          <w:color w:val="475569"/>
          <w:sz w:val="23"/>
        </w:rPr>
        <w:t>A modular quantitative-finance platform for curves, volatility, pricing, calibration, portfolio risk and structured-product analytics</w:t>
      </w:r>
    </w:p>
    <w:p>
      <w:pPr>
        <w:spacing w:before="2600"/>
        <w:jc w:val="center"/>
      </w:pPr>
      <w:r>
        <w:rPr>
          <w:color w:val="64748B"/>
          <w:sz w:val="20"/>
        </w:rPr>
        <w:t>Prepared July 2026</w:t>
      </w:r>
    </w:p>
    <w:p>
      <w:r>
        <w:br w:type="page"/>
      </w:r>
    </w:p>
    <w:p>
      <w:pPr>
        <w:pStyle w:val="Heading1"/>
      </w:pPr>
      <w:r>
        <w:t>Executive summary</w:t>
      </w:r>
    </w:p>
    <w:p>
      <w:r>
        <w:t>This document defines the complete functional and technical architecture for a modern C++ rates derivatives and structured-products platform. The system is designed as a portfolio-quality implementation of the components used in institutional derivatives analytics: market-data snapshots, date and schedule generation, multi-curve construction, volatility calibration, swaption pricing, early-exercise modelling, structured-product valuation, portfolio risk, scenario analysis, Python integration and graphical reporting.</w:t>
      </w:r>
    </w:p>
    <w:p>
      <w:r>
        <w:t>The C++ core contains financial domain objects and performance-sensitive numerical engines. Python is used for research, calibration experiments, visualisation and validation. A GUI, command-line interface and optional local API provide access to the same application services. The design keeps contractual product definitions, market state, models and pricing engines separate so that each can evolve independently.</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1F4E78"/>
            <w:vAlign w:val="center"/>
          </w:tcPr>
          <w:p>
            <w:r>
              <w:rPr>
                <w:b/>
                <w:color w:val="FFFFFF"/>
                <w:sz w:val="18"/>
              </w:rPr>
              <w:t>Area</w:t>
            </w:r>
          </w:p>
        </w:tc>
        <w:tc>
          <w:tcPr>
            <w:tcW w:type="dxa" w:w="4320"/>
            <w:shd w:fill="1F4E78"/>
            <w:vAlign w:val="center"/>
          </w:tcPr>
          <w:p>
            <w:r>
              <w:rPr>
                <w:b/>
                <w:color w:val="FFFFFF"/>
                <w:sz w:val="18"/>
              </w:rPr>
              <w:t>Primary responsibility</w:t>
            </w:r>
          </w:p>
        </w:tc>
        <w:tc>
          <w:tcPr>
            <w:tcW w:type="dxa" w:w="3456"/>
            <w:shd w:fill="1F4E78"/>
            <w:vAlign w:val="center"/>
          </w:tcPr>
          <w:p>
            <w:r>
              <w:rPr>
                <w:b/>
                <w:color w:val="FFFFFF"/>
                <w:sz w:val="18"/>
              </w:rPr>
              <w:t>Representative outputs</w:t>
            </w:r>
          </w:p>
        </w:tc>
      </w:tr>
      <w:tr>
        <w:tc>
          <w:tcPr>
            <w:tcW w:type="dxa" w:w="1944"/>
            <w:vAlign w:val="top"/>
          </w:tcPr>
          <w:p>
            <w:r>
              <w:rPr>
                <w:sz w:val="18"/>
              </w:rPr>
              <w:t>Market and reference data</w:t>
            </w:r>
          </w:p>
        </w:tc>
        <w:tc>
          <w:tcPr>
            <w:tcW w:type="dxa" w:w="4320"/>
            <w:vAlign w:val="top"/>
          </w:tcPr>
          <w:p>
            <w:r>
              <w:rPr>
                <w:sz w:val="18"/>
              </w:rPr>
              <w:t>Load, validate and version quotes, fixings, conventions and snapshots</w:t>
            </w:r>
          </w:p>
        </w:tc>
        <w:tc>
          <w:tcPr>
            <w:tcW w:type="dxa" w:w="3456"/>
            <w:vAlign w:val="top"/>
          </w:tcPr>
          <w:p>
            <w:r>
              <w:rPr>
                <w:sz w:val="18"/>
              </w:rPr>
              <w:t>Immutable market snapshot, validation report</w:t>
            </w:r>
          </w:p>
        </w:tc>
      </w:tr>
      <w:tr>
        <w:tc>
          <w:tcPr>
            <w:tcW w:type="dxa" w:w="1944"/>
            <w:vAlign w:val="top"/>
          </w:tcPr>
          <w:p>
            <w:r>
              <w:rPr>
                <w:sz w:val="18"/>
              </w:rPr>
              <w:t>Curves and volatility</w:t>
            </w:r>
          </w:p>
        </w:tc>
        <w:tc>
          <w:tcPr>
            <w:tcW w:type="dxa" w:w="4320"/>
            <w:vAlign w:val="top"/>
          </w:tcPr>
          <w:p>
            <w:r>
              <w:rPr>
                <w:sz w:val="18"/>
              </w:rPr>
              <w:t>Bootstrap discount and forward curves; construct surfaces and cubes</w:t>
            </w:r>
          </w:p>
        </w:tc>
        <w:tc>
          <w:tcPr>
            <w:tcW w:type="dxa" w:w="3456"/>
            <w:vAlign w:val="top"/>
          </w:tcPr>
          <w:p>
            <w:r>
              <w:rPr>
                <w:sz w:val="18"/>
              </w:rPr>
              <w:t>Discount factors, forwards, SABR parameters, residuals</w:t>
            </w:r>
          </w:p>
        </w:tc>
      </w:tr>
      <w:tr>
        <w:tc>
          <w:tcPr>
            <w:tcW w:type="dxa" w:w="1944"/>
            <w:vAlign w:val="top"/>
          </w:tcPr>
          <w:p>
            <w:r>
              <w:rPr>
                <w:sz w:val="18"/>
              </w:rPr>
              <w:t>Product domain</w:t>
            </w:r>
          </w:p>
        </w:tc>
        <w:tc>
          <w:tcPr>
            <w:tcW w:type="dxa" w:w="4320"/>
            <w:vAlign w:val="top"/>
          </w:tcPr>
          <w:p>
            <w:r>
              <w:rPr>
                <w:sz w:val="18"/>
              </w:rPr>
              <w:t>Represent contractual economics and schedules</w:t>
            </w:r>
          </w:p>
        </w:tc>
        <w:tc>
          <w:tcPr>
            <w:tcW w:type="dxa" w:w="3456"/>
            <w:vAlign w:val="top"/>
          </w:tcPr>
          <w:p>
            <w:r>
              <w:rPr>
                <w:sz w:val="18"/>
              </w:rPr>
              <w:t>Cash flows, exercise schedules, observation rules</w:t>
            </w:r>
          </w:p>
        </w:tc>
      </w:tr>
      <w:tr>
        <w:tc>
          <w:tcPr>
            <w:tcW w:type="dxa" w:w="1944"/>
            <w:vAlign w:val="top"/>
          </w:tcPr>
          <w:p>
            <w:r>
              <w:rPr>
                <w:sz w:val="18"/>
              </w:rPr>
              <w:t>Pricing and calibration</w:t>
            </w:r>
          </w:p>
        </w:tc>
        <w:tc>
          <w:tcPr>
            <w:tcW w:type="dxa" w:w="4320"/>
            <w:vAlign w:val="top"/>
          </w:tcPr>
          <w:p>
            <w:r>
              <w:rPr>
                <w:sz w:val="18"/>
              </w:rPr>
              <w:t>Apply analytic, lattice, Monte Carlo and optimisation methods</w:t>
            </w:r>
          </w:p>
        </w:tc>
        <w:tc>
          <w:tcPr>
            <w:tcW w:type="dxa" w:w="3456"/>
            <w:vAlign w:val="top"/>
          </w:tcPr>
          <w:p>
            <w:r>
              <w:rPr>
                <w:sz w:val="18"/>
              </w:rPr>
              <w:t>PV, par rate, implied volatility, calibrated models</w:t>
            </w:r>
          </w:p>
        </w:tc>
      </w:tr>
      <w:tr>
        <w:tc>
          <w:tcPr>
            <w:tcW w:type="dxa" w:w="1944"/>
            <w:vAlign w:val="top"/>
          </w:tcPr>
          <w:p>
            <w:r>
              <w:rPr>
                <w:sz w:val="18"/>
              </w:rPr>
              <w:t>Risk and scenarios</w:t>
            </w:r>
          </w:p>
        </w:tc>
        <w:tc>
          <w:tcPr>
            <w:tcW w:type="dxa" w:w="4320"/>
            <w:vAlign w:val="top"/>
          </w:tcPr>
          <w:p>
            <w:r>
              <w:rPr>
                <w:sz w:val="18"/>
              </w:rPr>
              <w:t>Shock risk factors, revalue and aggregate</w:t>
            </w:r>
          </w:p>
        </w:tc>
        <w:tc>
          <w:tcPr>
            <w:tcW w:type="dxa" w:w="3456"/>
            <w:vAlign w:val="top"/>
          </w:tcPr>
          <w:p>
            <w:r>
              <w:rPr>
                <w:sz w:val="18"/>
              </w:rPr>
              <w:t>PV01, vega, scenario PnL, stress results</w:t>
            </w:r>
          </w:p>
        </w:tc>
      </w:tr>
      <w:tr>
        <w:tc>
          <w:tcPr>
            <w:tcW w:type="dxa" w:w="1944"/>
            <w:vAlign w:val="top"/>
          </w:tcPr>
          <w:p>
            <w:r>
              <w:rPr>
                <w:sz w:val="18"/>
              </w:rPr>
              <w:t>Interfaces and infrastructure</w:t>
            </w:r>
          </w:p>
        </w:tc>
        <w:tc>
          <w:tcPr>
            <w:tcW w:type="dxa" w:w="4320"/>
            <w:vAlign w:val="top"/>
          </w:tcPr>
          <w:p>
            <w:r>
              <w:rPr>
                <w:sz w:val="18"/>
              </w:rPr>
              <w:t>Expose workflows, persist results and monitor execution</w:t>
            </w:r>
          </w:p>
        </w:tc>
        <w:tc>
          <w:tcPr>
            <w:tcW w:type="dxa" w:w="3456"/>
            <w:vAlign w:val="top"/>
          </w:tcPr>
          <w:p>
            <w:r>
              <w:rPr>
                <w:sz w:val="18"/>
              </w:rPr>
              <w:t>GUI, Python API, reports, logs, benchmarks</w:t>
            </w:r>
          </w:p>
        </w:tc>
      </w:tr>
    </w:tbl>
    <w:p/>
    <w:p>
      <w:pPr>
        <w:pStyle w:val="Heading1"/>
      </w:pPr>
      <w:r>
        <w:t>Document map</w:t>
      </w:r>
    </w:p>
    <w:p>
      <w:pPr>
        <w:pStyle w:val="ListBullet"/>
      </w:pPr>
      <w:r>
        <w:t>1. Purpose, scope and design principles</w:t>
      </w:r>
    </w:p>
    <w:p>
      <w:pPr>
        <w:pStyle w:val="ListBullet"/>
      </w:pPr>
      <w:r>
        <w:t>2. Product coverage</w:t>
      </w:r>
    </w:p>
    <w:p>
      <w:pPr>
        <w:pStyle w:val="ListBullet"/>
      </w:pPr>
      <w:r>
        <w:t>3. Platform architecture</w:t>
      </w:r>
    </w:p>
    <w:p>
      <w:pPr>
        <w:pStyle w:val="ListBullet"/>
      </w:pPr>
      <w:r>
        <w:t>4. Market data and reference data</w:t>
      </w:r>
    </w:p>
    <w:p>
      <w:pPr>
        <w:pStyle w:val="ListBullet"/>
      </w:pPr>
      <w:r>
        <w:t>5. Dates, schedules and cash flows</w:t>
      </w:r>
    </w:p>
    <w:p>
      <w:pPr>
        <w:pStyle w:val="ListBullet"/>
      </w:pPr>
      <w:r>
        <w:t>6. Curves and volatility</w:t>
      </w:r>
    </w:p>
    <w:p>
      <w:pPr>
        <w:pStyle w:val="ListBullet"/>
      </w:pPr>
      <w:r>
        <w:t>7. Models and calibration</w:t>
      </w:r>
    </w:p>
    <w:p>
      <w:pPr>
        <w:pStyle w:val="ListBullet"/>
      </w:pPr>
      <w:r>
        <w:t>8. Pricing and numerical engines</w:t>
      </w:r>
    </w:p>
    <w:p>
      <w:pPr>
        <w:pStyle w:val="ListBullet"/>
      </w:pPr>
      <w:r>
        <w:t>9. Swaption and structured-product workflows</w:t>
      </w:r>
    </w:p>
    <w:p>
      <w:pPr>
        <w:pStyle w:val="ListBullet"/>
      </w:pPr>
      <w:r>
        <w:t>10. Risk, scenarios and portfolio analytics</w:t>
      </w:r>
    </w:p>
    <w:p>
      <w:pPr>
        <w:pStyle w:val="ListBullet"/>
      </w:pPr>
      <w:r>
        <w:t>11. Interfaces, persistence and observability</w:t>
      </w:r>
    </w:p>
    <w:p>
      <w:pPr>
        <w:pStyle w:val="ListBullet"/>
      </w:pPr>
      <w:r>
        <w:t>12. Performance, testing and validation</w:t>
      </w:r>
    </w:p>
    <w:p>
      <w:pPr>
        <w:pStyle w:val="ListBullet"/>
      </w:pPr>
      <w:r>
        <w:t>13. Repository structure and coding standards</w:t>
      </w:r>
    </w:p>
    <w:p>
      <w:pPr>
        <w:pStyle w:val="ListBullet"/>
      </w:pPr>
      <w:r>
        <w:t>14. Implementation roadmap and flagship release criteria</w:t>
      </w:r>
    </w:p>
    <w:p>
      <w:pPr>
        <w:sectPr>
          <w:headerReference w:type="default" r:id="rId9"/>
          <w:footerReference w:type="default" r:id="rId10"/>
          <w:pgSz w:w="12240" w:h="15840"/>
          <w:pgMar w:top="1080" w:right="1152" w:bottom="1008" w:left="1152" w:header="720" w:footer="720" w:gutter="0"/>
          <w:cols w:space="720"/>
          <w:titlePg/>
          <w:docGrid w:linePitch="360"/>
        </w:sectPr>
      </w:pPr>
    </w:p>
    <w:p>
      <w:pPr>
        <w:pStyle w:val="Heading1"/>
      </w:pPr>
      <w:r>
        <w:t>Platform architecture at a glance</w:t>
      </w:r>
    </w:p>
    <w:p>
      <w:pPr>
        <w:jc w:val="center"/>
      </w:pPr>
      <w:r>
        <w:drawing>
          <wp:inline xmlns:a="http://schemas.openxmlformats.org/drawingml/2006/main" xmlns:pic="http://schemas.openxmlformats.org/drawingml/2006/picture">
            <wp:extent cx="9144000" cy="1728090"/>
            <wp:docPr id="1" name="Picture 1"/>
            <wp:cNvGraphicFramePr>
              <a:graphicFrameLocks noChangeAspect="1"/>
            </wp:cNvGraphicFramePr>
            <a:graphic>
              <a:graphicData uri="http://schemas.openxmlformats.org/drawingml/2006/picture">
                <pic:pic>
                  <pic:nvPicPr>
                    <pic:cNvPr id="0" name="rates_platform_architecture.png"/>
                    <pic:cNvPicPr/>
                  </pic:nvPicPr>
                  <pic:blipFill>
                    <a:blip r:embed="rId11"/>
                    <a:stretch>
                      <a:fillRect/>
                    </a:stretch>
                  </pic:blipFill>
                  <pic:spPr>
                    <a:xfrm>
                      <a:off x="0" y="0"/>
                      <a:ext cx="9144000" cy="1728090"/>
                    </a:xfrm>
                    <a:prstGeom prst="rect"/>
                  </pic:spPr>
                </pic:pic>
              </a:graphicData>
            </a:graphic>
          </wp:inline>
        </w:drawing>
      </w:r>
    </w:p>
    <w:p>
      <w:pPr>
        <w:jc w:val="center"/>
      </w:pPr>
      <w:r>
        <w:rPr>
          <w:i/>
          <w:color w:val="64748B"/>
          <w:sz w:val="18"/>
        </w:rPr>
        <w:t>Figure 1. Mental model of the complete platform and its principal data flows.</w:t>
      </w:r>
    </w:p>
    <w:p>
      <w:pPr>
        <w:sectPr>
          <w:pgSz w:w="15840" w:h="12240" w:orient="landscape"/>
          <w:pgMar w:top="648" w:right="648" w:bottom="648" w:left="648" w:header="720" w:footer="720" w:gutter="0"/>
          <w:cols w:space="720"/>
          <w:titlePg/>
          <w:docGrid w:linePitch="360"/>
        </w:sectPr>
      </w:pPr>
    </w:p>
    <w:p>
      <w:pPr>
        <w:pStyle w:val="Heading1"/>
      </w:pPr>
      <w:r>
        <w:t>1. Purpose, scope and design principles</w:t>
      </w:r>
    </w:p>
    <w:p>
      <w:pPr>
        <w:pStyle w:val="Heading2"/>
      </w:pPr>
      <w:r>
        <w:t>1.1 Purpose</w:t>
      </w:r>
    </w:p>
    <w:p>
      <w:r>
        <w:t>The platform prices, calibrates and risk-manages interest-rate derivatives and structured products using a reusable C++ quantitative core. It is intended to demonstrate both quantitative depth and production-oriented engineering rather than functioning as a collection of isolated formulas.</w:t>
      </w:r>
    </w:p>
    <w:p>
      <w:pPr>
        <w:pStyle w:val="Heading2"/>
      </w:pPr>
      <w:r>
        <w:t>1.2 Intended users</w:t>
      </w:r>
    </w:p>
    <w:p>
      <w:pPr>
        <w:pStyle w:val="ListBullet"/>
      </w:pPr>
      <w:r>
        <w:t>Quantitative analysts and researchers</w:t>
      </w:r>
    </w:p>
    <w:p>
      <w:pPr>
        <w:pStyle w:val="ListBullet"/>
      </w:pPr>
      <w:r>
        <w:t>Rates and derivatives traders</w:t>
      </w:r>
    </w:p>
    <w:p>
      <w:pPr>
        <w:pStyle w:val="ListBullet"/>
      </w:pPr>
      <w:r>
        <w:t>Structurers</w:t>
      </w:r>
    </w:p>
    <w:p>
      <w:pPr>
        <w:pStyle w:val="ListBullet"/>
      </w:pPr>
      <w:r>
        <w:t>Market-risk analysts</w:t>
      </w:r>
    </w:p>
    <w:p>
      <w:pPr>
        <w:pStyle w:val="ListBullet"/>
      </w:pPr>
      <w:r>
        <w:t>Quantitative developers</w:t>
      </w:r>
    </w:p>
    <w:p>
      <w:pPr>
        <w:pStyle w:val="ListBullet"/>
      </w:pPr>
      <w:r>
        <w:t>Students studying derivatives modelling</w:t>
      </w:r>
    </w:p>
    <w:p>
      <w:pPr>
        <w:pStyle w:val="Heading2"/>
      </w:pPr>
      <w:r>
        <w:t>1.3 Architectural principles</w:t>
      </w:r>
    </w:p>
    <w:p>
      <w:r>
        <w:rPr>
          <w:b/>
        </w:rPr>
        <w:t xml:space="preserve">Separation of concerns: </w:t>
      </w:r>
      <w:r>
        <w:t>Instruments define contractual economics, market objects define the valuation environment, models define dynamics, and pricing engines combine them.</w:t>
      </w:r>
    </w:p>
    <w:p>
      <w:r>
        <w:rPr>
          <w:b/>
        </w:rPr>
        <w:t xml:space="preserve">Immutable market state: </w:t>
      </w:r>
      <w:r>
        <w:t>Every calculation refers to a versioned market-data snapshot so results remain reproducible, auditable and thread-safe.</w:t>
      </w:r>
    </w:p>
    <w:p>
      <w:r>
        <w:rPr>
          <w:b/>
        </w:rPr>
        <w:t xml:space="preserve">Replaceable pricing engines: </w:t>
      </w:r>
      <w:r>
        <w:t>The same instrument can be priced with analytic, lattice, Monte Carlo or finite-difference methods through a common interface.</w:t>
      </w:r>
    </w:p>
    <w:p>
      <w:r>
        <w:rPr>
          <w:b/>
        </w:rPr>
        <w:t xml:space="preserve">Explicit conventions: </w:t>
      </w:r>
      <w:r>
        <w:t>Calendars, day counts, fixing rules, settlement methods and interpolation assumptions are stored as data rather than embedded in formulas.</w:t>
      </w:r>
    </w:p>
    <w:p>
      <w:r>
        <w:rPr>
          <w:b/>
        </w:rPr>
        <w:t xml:space="preserve">Diagnostics by default: </w:t>
      </w:r>
      <w:r>
        <w:t>Every valuation includes convergence, calibration, data-quality and numerical diagnostics.</w:t>
      </w:r>
    </w:p>
    <w:p>
      <w:r>
        <w:rPr>
          <w:b/>
        </w:rPr>
        <w:t xml:space="preserve">Validation against independent references: </w:t>
      </w:r>
      <w:r>
        <w:t>Analytic identities, published cases, QuantLib and other independent implementations are used as benchmarks, not as hidden pricing dependencies.</w:t>
      </w:r>
    </w:p>
    <w:p>
      <w:r>
        <w:rPr>
          <w:b/>
        </w:rPr>
        <w:t xml:space="preserve">Research and production split: </w:t>
      </w:r>
      <w:r>
        <w:t>Python supports experimentation and visualisation, while C++ owns core financial logic and performance-sensitive calculations.</w:t>
      </w:r>
    </w:p>
    <w:p>
      <w:pPr>
        <w:pStyle w:val="Heading1"/>
      </w:pPr>
      <w:r>
        <w:t>2. Product coverage</w:t>
      </w:r>
    </w:p>
    <w:p>
      <w:r>
        <w:t>Product coverage is delivered in layers. Rates foundations are implemented first, followed by vanilla options, early-exercise products and selected structured products.</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1F4E78"/>
            <w:vAlign w:val="center"/>
          </w:tcPr>
          <w:p>
            <w:r>
              <w:rPr>
                <w:b/>
                <w:color w:val="FFFFFF"/>
                <w:sz w:val="18"/>
              </w:rPr>
              <w:t>Product family</w:t>
            </w:r>
          </w:p>
        </w:tc>
        <w:tc>
          <w:tcPr>
            <w:tcW w:type="dxa" w:w="4680"/>
            <w:shd w:fill="1F4E78"/>
            <w:vAlign w:val="center"/>
          </w:tcPr>
          <w:p>
            <w:r>
              <w:rPr>
                <w:b/>
                <w:color w:val="FFFFFF"/>
                <w:sz w:val="18"/>
              </w:rPr>
              <w:t>Initial instruments</w:t>
            </w:r>
          </w:p>
        </w:tc>
        <w:tc>
          <w:tcPr>
            <w:tcW w:type="dxa" w:w="3096"/>
            <w:shd w:fill="1F4E78"/>
            <w:vAlign w:val="center"/>
          </w:tcPr>
          <w:p>
            <w:r>
              <w:rPr>
                <w:b/>
                <w:color w:val="FFFFFF"/>
                <w:sz w:val="18"/>
              </w:rPr>
              <w:t>Primary valuation methods</w:t>
            </w:r>
          </w:p>
        </w:tc>
      </w:tr>
      <w:tr>
        <w:tc>
          <w:tcPr>
            <w:tcW w:type="dxa" w:w="1944"/>
            <w:vAlign w:val="top"/>
          </w:tcPr>
          <w:p>
            <w:r>
              <w:rPr>
                <w:sz w:val="18"/>
              </w:rPr>
              <w:t>Rates foundations</w:t>
            </w:r>
          </w:p>
        </w:tc>
        <w:tc>
          <w:tcPr>
            <w:tcW w:type="dxa" w:w="4680"/>
            <w:vAlign w:val="top"/>
          </w:tcPr>
          <w:p>
            <w:r>
              <w:rPr>
                <w:sz w:val="18"/>
              </w:rPr>
              <w:t>Deposits, futures, FRAs, OIS, fixed-floating swaps, basis swaps, bonds and floating-rate notes</w:t>
            </w:r>
          </w:p>
        </w:tc>
        <w:tc>
          <w:tcPr>
            <w:tcW w:type="dxa" w:w="3096"/>
            <w:vAlign w:val="top"/>
          </w:tcPr>
          <w:p>
            <w:r>
              <w:rPr>
                <w:sz w:val="18"/>
              </w:rPr>
              <w:t>Discounted cash flow and curve bootstrapping</w:t>
            </w:r>
          </w:p>
        </w:tc>
      </w:tr>
      <w:tr>
        <w:tc>
          <w:tcPr>
            <w:tcW w:type="dxa" w:w="1944"/>
            <w:vAlign w:val="top"/>
          </w:tcPr>
          <w:p>
            <w:r>
              <w:rPr>
                <w:sz w:val="18"/>
              </w:rPr>
              <w:t>Vanilla rates options</w:t>
            </w:r>
          </w:p>
        </w:tc>
        <w:tc>
          <w:tcPr>
            <w:tcW w:type="dxa" w:w="4680"/>
            <w:vAlign w:val="top"/>
          </w:tcPr>
          <w:p>
            <w:r>
              <w:rPr>
                <w:sz w:val="18"/>
              </w:rPr>
              <w:t>Caplets, floorlets, caps, floors, European payer and receiver swaptions</w:t>
            </w:r>
          </w:p>
        </w:tc>
        <w:tc>
          <w:tcPr>
            <w:tcW w:type="dxa" w:w="3096"/>
            <w:vAlign w:val="top"/>
          </w:tcPr>
          <w:p>
            <w:r>
              <w:rPr>
                <w:sz w:val="18"/>
              </w:rPr>
              <w:t>Black 76, Bachelier and shifted lognormal</w:t>
            </w:r>
          </w:p>
        </w:tc>
      </w:tr>
      <w:tr>
        <w:tc>
          <w:tcPr>
            <w:tcW w:type="dxa" w:w="1944"/>
            <w:vAlign w:val="top"/>
          </w:tcPr>
          <w:p>
            <w:r>
              <w:rPr>
                <w:sz w:val="18"/>
              </w:rPr>
              <w:t>Early-exercise rates</w:t>
            </w:r>
          </w:p>
        </w:tc>
        <w:tc>
          <w:tcPr>
            <w:tcW w:type="dxa" w:w="4680"/>
            <w:vAlign w:val="top"/>
          </w:tcPr>
          <w:p>
            <w:r>
              <w:rPr>
                <w:sz w:val="18"/>
              </w:rPr>
              <w:t>Bermudan swaptions, callable swaps, callable and puttable bonds</w:t>
            </w:r>
          </w:p>
        </w:tc>
        <w:tc>
          <w:tcPr>
            <w:tcW w:type="dxa" w:w="3096"/>
            <w:vAlign w:val="top"/>
          </w:tcPr>
          <w:p>
            <w:r>
              <w:rPr>
                <w:sz w:val="18"/>
              </w:rPr>
              <w:t>Hull-White tree and Least-Squares Monte Carlo</w:t>
            </w:r>
          </w:p>
        </w:tc>
      </w:tr>
      <w:tr>
        <w:tc>
          <w:tcPr>
            <w:tcW w:type="dxa" w:w="1944"/>
            <w:vAlign w:val="top"/>
          </w:tcPr>
          <w:p>
            <w:r>
              <w:rPr>
                <w:sz w:val="18"/>
              </w:rPr>
              <w:t>Structured rates</w:t>
            </w:r>
          </w:p>
        </w:tc>
        <w:tc>
          <w:tcPr>
            <w:tcW w:type="dxa" w:w="4680"/>
            <w:vAlign w:val="top"/>
          </w:tcPr>
          <w:p>
            <w:r>
              <w:rPr>
                <w:sz w:val="18"/>
              </w:rPr>
              <w:t>Range accruals, callable range accruals, CMS caps and floors, CMS spread options, steepeners and inverse floaters</w:t>
            </w:r>
          </w:p>
        </w:tc>
        <w:tc>
          <w:tcPr>
            <w:tcW w:type="dxa" w:w="3096"/>
            <w:vAlign w:val="top"/>
          </w:tcPr>
          <w:p>
            <w:r>
              <w:rPr>
                <w:sz w:val="18"/>
              </w:rPr>
              <w:t>Smile-aware projection, convexity adjustment, simulation and LSMC</w:t>
            </w:r>
          </w:p>
        </w:tc>
      </w:tr>
      <w:tr>
        <w:tc>
          <w:tcPr>
            <w:tcW w:type="dxa" w:w="1944"/>
            <w:vAlign w:val="top"/>
          </w:tcPr>
          <w:p>
            <w:r>
              <w:rPr>
                <w:sz w:val="18"/>
              </w:rPr>
              <w:t>Optional extensions</w:t>
            </w:r>
          </w:p>
        </w:tc>
        <w:tc>
          <w:tcPr>
            <w:tcW w:type="dxa" w:w="4680"/>
            <w:vAlign w:val="top"/>
          </w:tcPr>
          <w:p>
            <w:r>
              <w:rPr>
                <w:sz w:val="18"/>
              </w:rPr>
              <w:t>Autocallables, barriers, Asians, convertibles, commodity spread and swing options</w:t>
            </w:r>
          </w:p>
        </w:tc>
        <w:tc>
          <w:tcPr>
            <w:tcW w:type="dxa" w:w="3096"/>
            <w:vAlign w:val="top"/>
          </w:tcPr>
          <w:p>
            <w:r>
              <w:rPr>
                <w:sz w:val="18"/>
              </w:rPr>
              <w:t>Monte Carlo, PDE, lattice and dynamic programming</w:t>
            </w:r>
          </w:p>
        </w:tc>
      </w:tr>
    </w:tbl>
    <w:p/>
    <w:p>
      <w:pPr>
        <w:pStyle w:val="Heading2"/>
      </w:pPr>
      <w:r>
        <w:t>2.1 Instrument conventions</w:t>
      </w:r>
    </w:p>
    <w:p>
      <w:pPr>
        <w:pStyle w:val="ListBullet"/>
      </w:pPr>
      <w:r>
        <w:t>Trade, effective, maturity, exercise, fixing and payment dates</w:t>
      </w:r>
    </w:p>
    <w:p>
      <w:pPr>
        <w:pStyle w:val="ListBullet"/>
      </w:pPr>
      <w:r>
        <w:t>Notional schedules, amortisation and accretion</w:t>
      </w:r>
    </w:p>
    <w:p>
      <w:pPr>
        <w:pStyle w:val="ListBullet"/>
      </w:pPr>
      <w:r>
        <w:t>Currency, index, fixed rate, spread, gearing and strike</w:t>
      </w:r>
    </w:p>
    <w:p>
      <w:pPr>
        <w:pStyle w:val="ListBullet"/>
      </w:pPr>
      <w:r>
        <w:t>Payment and reset frequencies</w:t>
      </w:r>
    </w:p>
    <w:p>
      <w:pPr>
        <w:pStyle w:val="ListBullet"/>
      </w:pPr>
      <w:r>
        <w:t>Day-count and business-day conventions</w:t>
      </w:r>
    </w:p>
    <w:p>
      <w:pPr>
        <w:pStyle w:val="ListBullet"/>
      </w:pPr>
      <w:r>
        <w:t>Settlement lag, payment lag and fixing lag</w:t>
      </w:r>
    </w:p>
    <w:p>
      <w:pPr>
        <w:pStyle w:val="ListBullet"/>
      </w:pPr>
      <w:r>
        <w:t>Stub periods and end-of-month rules</w:t>
      </w:r>
    </w:p>
    <w:p>
      <w:pPr>
        <w:pStyle w:val="ListBullet"/>
      </w:pPr>
      <w:r>
        <w:t>Physical or cash settlement and long or short direction</w:t>
      </w:r>
    </w:p>
    <w:p>
      <w:pPr>
        <w:pStyle w:val="Heading1"/>
      </w:pPr>
      <w:r>
        <w:t>3. Platform architecture</w:t>
      </w:r>
    </w:p>
    <w:p>
      <w:pPr>
        <w:pStyle w:val="Heading2"/>
      </w:pPr>
      <w:r>
        <w:t>3.1 Layered structure</w:t>
      </w:r>
    </w:p>
    <w:tbl>
      <w:tblPr>
        <w:tblStyle w:val="TableGrid"/>
        <w:tblW w:type="auto" w:w="0"/>
        <w:jc w:val="center"/>
        <w:tblLook w:firstColumn="1" w:firstRow="1" w:lastColumn="0" w:lastRow="0" w:noHBand="0" w:noVBand="1" w:val="04A0"/>
      </w:tblPr>
      <w:tblGrid>
        <w:gridCol w:w="3312"/>
        <w:gridCol w:w="3312"/>
        <w:gridCol w:w="3312"/>
      </w:tblGrid>
      <w:tr>
        <w:tc>
          <w:tcPr>
            <w:tcW w:type="dxa" w:w="1656"/>
            <w:shd w:fill="1F4E78"/>
            <w:vAlign w:val="center"/>
          </w:tcPr>
          <w:p>
            <w:r>
              <w:rPr>
                <w:b/>
                <w:color w:val="FFFFFF"/>
                <w:sz w:val="18"/>
              </w:rPr>
              <w:t>Layer</w:t>
            </w:r>
          </w:p>
        </w:tc>
        <w:tc>
          <w:tcPr>
            <w:tcW w:type="dxa" w:w="4536"/>
            <w:shd w:fill="1F4E78"/>
            <w:vAlign w:val="center"/>
          </w:tcPr>
          <w:p>
            <w:r>
              <w:rPr>
                <w:b/>
                <w:color w:val="FFFFFF"/>
                <w:sz w:val="18"/>
              </w:rPr>
              <w:t>Responsibilities</w:t>
            </w:r>
          </w:p>
        </w:tc>
        <w:tc>
          <w:tcPr>
            <w:tcW w:type="dxa" w:w="3528"/>
            <w:shd w:fill="1F4E78"/>
            <w:vAlign w:val="center"/>
          </w:tcPr>
          <w:p>
            <w:r>
              <w:rPr>
                <w:b/>
                <w:color w:val="FFFFFF"/>
                <w:sz w:val="18"/>
              </w:rPr>
              <w:t>Examples</w:t>
            </w:r>
          </w:p>
        </w:tc>
      </w:tr>
      <w:tr>
        <w:tc>
          <w:tcPr>
            <w:tcW w:type="dxa" w:w="1656"/>
            <w:vAlign w:val="top"/>
          </w:tcPr>
          <w:p>
            <w:r>
              <w:rPr>
                <w:sz w:val="18"/>
              </w:rPr>
              <w:t>Presentation</w:t>
            </w:r>
          </w:p>
        </w:tc>
        <w:tc>
          <w:tcPr>
            <w:tcW w:type="dxa" w:w="4536"/>
            <w:vAlign w:val="top"/>
          </w:tcPr>
          <w:p>
            <w:r>
              <w:rPr>
                <w:sz w:val="18"/>
              </w:rPr>
              <w:t>Display, user input and external integration</w:t>
            </w:r>
          </w:p>
        </w:tc>
        <w:tc>
          <w:tcPr>
            <w:tcW w:type="dxa" w:w="3528"/>
            <w:vAlign w:val="top"/>
          </w:tcPr>
          <w:p>
            <w:r>
              <w:rPr>
                <w:sz w:val="18"/>
              </w:rPr>
              <w:t>GUI, Python API, notebooks, CLI, REST</w:t>
            </w:r>
          </w:p>
        </w:tc>
      </w:tr>
      <w:tr>
        <w:tc>
          <w:tcPr>
            <w:tcW w:type="dxa" w:w="1656"/>
            <w:vAlign w:val="top"/>
          </w:tcPr>
          <w:p>
            <w:r>
              <w:rPr>
                <w:sz w:val="18"/>
              </w:rPr>
              <w:t>Application</w:t>
            </w:r>
          </w:p>
        </w:tc>
        <w:tc>
          <w:tcPr>
            <w:tcW w:type="dxa" w:w="4536"/>
            <w:vAlign w:val="top"/>
          </w:tcPr>
          <w:p>
            <w:r>
              <w:rPr>
                <w:sz w:val="18"/>
              </w:rPr>
              <w:t>Coordinate complete business workflows</w:t>
            </w:r>
          </w:p>
        </w:tc>
        <w:tc>
          <w:tcPr>
            <w:tcW w:type="dxa" w:w="3528"/>
            <w:vAlign w:val="top"/>
          </w:tcPr>
          <w:p>
            <w:r>
              <w:rPr>
                <w:sz w:val="18"/>
              </w:rPr>
              <w:t>PricingService, RiskService, CurveCalibrationService</w:t>
            </w:r>
          </w:p>
        </w:tc>
      </w:tr>
      <w:tr>
        <w:tc>
          <w:tcPr>
            <w:tcW w:type="dxa" w:w="1656"/>
            <w:vAlign w:val="top"/>
          </w:tcPr>
          <w:p>
            <w:r>
              <w:rPr>
                <w:sz w:val="18"/>
              </w:rPr>
              <w:t>Domain</w:t>
            </w:r>
          </w:p>
        </w:tc>
        <w:tc>
          <w:tcPr>
            <w:tcW w:type="dxa" w:w="4536"/>
            <w:vAlign w:val="top"/>
          </w:tcPr>
          <w:p>
            <w:r>
              <w:rPr>
                <w:sz w:val="18"/>
              </w:rPr>
              <w:t>Represent financial concepts without infrastructure dependencies</w:t>
            </w:r>
          </w:p>
        </w:tc>
        <w:tc>
          <w:tcPr>
            <w:tcW w:type="dxa" w:w="3528"/>
            <w:vAlign w:val="top"/>
          </w:tcPr>
          <w:p>
            <w:r>
              <w:rPr>
                <w:sz w:val="18"/>
              </w:rPr>
              <w:t>Instrument, Trade, Curve, VolatilityCube, Portfolio</w:t>
            </w:r>
          </w:p>
        </w:tc>
      </w:tr>
      <w:tr>
        <w:tc>
          <w:tcPr>
            <w:tcW w:type="dxa" w:w="1656"/>
            <w:vAlign w:val="top"/>
          </w:tcPr>
          <w:p>
            <w:r>
              <w:rPr>
                <w:sz w:val="18"/>
              </w:rPr>
              <w:t>Quantitative engine</w:t>
            </w:r>
          </w:p>
        </w:tc>
        <w:tc>
          <w:tcPr>
            <w:tcW w:type="dxa" w:w="4536"/>
            <w:vAlign w:val="top"/>
          </w:tcPr>
          <w:p>
            <w:r>
              <w:rPr>
                <w:sz w:val="18"/>
              </w:rPr>
              <w:t>Perform pricing, simulation, calibration and numerical analysis</w:t>
            </w:r>
          </w:p>
        </w:tc>
        <w:tc>
          <w:tcPr>
            <w:tcW w:type="dxa" w:w="3528"/>
            <w:vAlign w:val="top"/>
          </w:tcPr>
          <w:p>
            <w:r>
              <w:rPr>
                <w:sz w:val="18"/>
              </w:rPr>
              <w:t>Black, Bachelier, SABR, Hull-White, LSMC</w:t>
            </w:r>
          </w:p>
        </w:tc>
      </w:tr>
      <w:tr>
        <w:tc>
          <w:tcPr>
            <w:tcW w:type="dxa" w:w="1656"/>
            <w:vAlign w:val="top"/>
          </w:tcPr>
          <w:p>
            <w:r>
              <w:rPr>
                <w:sz w:val="18"/>
              </w:rPr>
              <w:t>Infrastructure</w:t>
            </w:r>
          </w:p>
        </w:tc>
        <w:tc>
          <w:tcPr>
            <w:tcW w:type="dxa" w:w="4536"/>
            <w:vAlign w:val="top"/>
          </w:tcPr>
          <w:p>
            <w:r>
              <w:rPr>
                <w:sz w:val="18"/>
              </w:rPr>
              <w:t>Data adapters, persistence, logging, caching and bindings</w:t>
            </w:r>
          </w:p>
        </w:tc>
        <w:tc>
          <w:tcPr>
            <w:tcW w:type="dxa" w:w="3528"/>
            <w:vAlign w:val="top"/>
          </w:tcPr>
          <w:p>
            <w:r>
              <w:rPr>
                <w:sz w:val="18"/>
              </w:rPr>
              <w:t>CSV, Parquet, PostgreSQL, pybind11, metrics</w:t>
            </w:r>
          </w:p>
        </w:tc>
      </w:tr>
    </w:tbl>
    <w:p/>
    <w:p>
      <w:pPr>
        <w:pStyle w:val="Heading2"/>
      </w:pPr>
      <w:r>
        <w:t>3.2 Core application services</w:t>
      </w:r>
    </w:p>
    <w:p>
      <w:r>
        <w:rPr>
          <w:b/>
        </w:rPr>
        <w:t>MarketDataService</w:t>
      </w:r>
      <w:r>
        <w:t xml:space="preserve"> - Loads raw data, validates it and constructs immutable snapshots.</w:t>
      </w:r>
    </w:p>
    <w:p>
      <w:r>
        <w:rPr>
          <w:b/>
        </w:rPr>
        <w:t>CurveCalibrationService</w:t>
      </w:r>
      <w:r>
        <w:t xml:space="preserve"> - Builds discount, forward and basis curves and produces calibration diagnostics.</w:t>
      </w:r>
    </w:p>
    <w:p>
      <w:r>
        <w:rPr>
          <w:b/>
        </w:rPr>
        <w:t>VolatilityCalibrationService</w:t>
      </w:r>
      <w:r>
        <w:t xml:space="preserve"> - Constructs volatility matrices, surfaces, cubes and SABR parameter grids.</w:t>
      </w:r>
    </w:p>
    <w:p>
      <w:r>
        <w:rPr>
          <w:b/>
        </w:rPr>
        <w:t>PricingService</w:t>
      </w:r>
      <w:r>
        <w:t xml:space="preserve"> - Selects a compatible engine and produces a standard PricingResult.</w:t>
      </w:r>
    </w:p>
    <w:p>
      <w:r>
        <w:rPr>
          <w:b/>
        </w:rPr>
        <w:t>PortfolioValuationService</w:t>
      </w:r>
      <w:r>
        <w:t xml:space="preserve"> - Prices trade collections in parallel and isolates failed valuations.</w:t>
      </w:r>
    </w:p>
    <w:p>
      <w:r>
        <w:rPr>
          <w:b/>
        </w:rPr>
        <w:t>RiskService</w:t>
      </w:r>
      <w:r>
        <w:t xml:space="preserve"> - Calculates sensitivities and aggregates them by risk factor, book and currency.</w:t>
      </w:r>
    </w:p>
    <w:p>
      <w:r>
        <w:rPr>
          <w:b/>
        </w:rPr>
        <w:t>ScenarioService</w:t>
      </w:r>
      <w:r>
        <w:t xml:space="preserve"> - Creates shocked market snapshots and orchestrates revaluation.</w:t>
      </w:r>
    </w:p>
    <w:p>
      <w:r>
        <w:rPr>
          <w:b/>
        </w:rPr>
        <w:t>ReportService</w:t>
      </w:r>
      <w:r>
        <w:t xml:space="preserve"> - Formats results for GUI, files, notebooks and audit records.</w:t>
      </w:r>
    </w:p>
    <w:p>
      <w:pPr>
        <w:pStyle w:val="Heading2"/>
      </w:pPr>
      <w:r>
        <w:t>3.3 Standard valuation contract</w:t>
      </w:r>
    </w:p>
    <w:p>
      <w:pPr>
        <w:pStyle w:val="CodeBlock"/>
      </w:pPr>
      <w:r>
        <w:rPr>
          <w:rFonts w:ascii="Consolas" w:hAnsi="Consolas"/>
          <w:sz w:val="17"/>
        </w:rPr>
        <w:t>template &lt;typename Instrument&gt;</w:t>
        <w:br/>
        <w:t>class IPricingEngine {</w:t>
        <w:br/>
        <w:t>public:</w:t>
        <w:br/>
        <w:t xml:space="preserve">    virtual PricingResult calculate(</w:t>
        <w:br/>
        <w:t xml:space="preserve">        const Instrument&amp; instrument,</w:t>
        <w:br/>
        <w:t xml:space="preserve">        const MarketDataSnapshot&amp; market,</w:t>
        <w:br/>
        <w:t xml:space="preserve">        const PricingContext&amp; context</w:t>
        <w:br/>
        <w:t xml:space="preserve">    ) const = 0;</w:t>
        <w:br/>
        <w:br/>
        <w:t xml:space="preserve">    virtual ~IPricingEngine() = default;</w:t>
        <w:br/>
        <w:t>};</w:t>
      </w:r>
    </w:p>
    <w:p>
      <w:pPr>
        <w:pStyle w:val="Heading1"/>
      </w:pPr>
      <w:r>
        <w:t>4. Market data and reference data</w:t>
      </w:r>
    </w:p>
    <w:p>
      <w:pPr>
        <w:pStyle w:val="Heading2"/>
      </w:pPr>
      <w:r>
        <w:t>4.1 Immutable market-data snapshot</w:t>
      </w:r>
    </w:p>
    <w:p>
      <w:r>
        <w:t>A snapshot is the complete, read-only valuation state used by a calculation. New quotes produce a new snapshot rather than mutating an object already used by running calculations.</w:t>
      </w:r>
    </w:p>
    <w:p>
      <w:pPr>
        <w:pStyle w:val="CodeBlock"/>
      </w:pPr>
      <w:r>
        <w:rPr>
          <w:rFonts w:ascii="Consolas" w:hAnsi="Consolas"/>
          <w:sz w:val="17"/>
        </w:rPr>
        <w:t>struct MarketDataSnapshot {</w:t>
        <w:br/>
        <w:t xml:space="preserve">    Date valuationDate;</w:t>
        <w:br/>
        <w:t xml:space="preserve">    Timestamp timestamp;</w:t>
        <w:br/>
        <w:t xml:space="preserve">    CurveMap discountCurves;</w:t>
        <w:br/>
        <w:t xml:space="preserve">    CurveMap forwardCurves;</w:t>
        <w:br/>
        <w:t xml:space="preserve">    VolatilitySurfaceMap volatilitySurfaces;</w:t>
        <w:br/>
        <w:t xml:space="preserve">    VolatilityCubeMap volatilityCubes;</w:t>
        <w:br/>
        <w:t xml:space="preserve">    FixingRepository fixings;</w:t>
        <w:br/>
        <w:t xml:space="preserve">    FxRateMatrix fxRates;</w:t>
        <w:br/>
        <w:t xml:space="preserve">    ModelParameterMap modelParameters;</w:t>
        <w:br/>
        <w:t>};</w:t>
      </w:r>
    </w:p>
    <w:p>
      <w:pPr>
        <w:pStyle w:val="Heading2"/>
      </w:pPr>
      <w:r>
        <w:t>4.2 Market-data identifiers</w:t>
      </w:r>
    </w:p>
    <w:p>
      <w:pPr>
        <w:pStyle w:val="ListBullet"/>
      </w:pPr>
      <w:r>
        <w:t>GBP-SONIA-DISCOUNT</w:t>
      </w:r>
    </w:p>
    <w:p>
      <w:pPr>
        <w:pStyle w:val="ListBullet"/>
      </w:pPr>
      <w:r>
        <w:t>GBP-SONIA-3M-FORWARD</w:t>
      </w:r>
    </w:p>
    <w:p>
      <w:pPr>
        <w:pStyle w:val="ListBullet"/>
      </w:pPr>
      <w:r>
        <w:t>USD-SOFR-DISCOUNT</w:t>
      </w:r>
    </w:p>
    <w:p>
      <w:pPr>
        <w:pStyle w:val="ListBullet"/>
      </w:pPr>
      <w:r>
        <w:t>GBP-SWAPTION-NORMAL-VOL</w:t>
      </w:r>
    </w:p>
    <w:p>
      <w:pPr>
        <w:pStyle w:val="ListBullet"/>
      </w:pPr>
      <w:r>
        <w:t>EUR-SWAPTION-SABR-CUBE</w:t>
      </w:r>
    </w:p>
    <w:p>
      <w:pPr>
        <w:pStyle w:val="ListBullet"/>
      </w:pPr>
      <w:r>
        <w:t>GBP-SONIA-FIXINGS</w:t>
      </w:r>
    </w:p>
    <w:p>
      <w:pPr>
        <w:pStyle w:val="Heading2"/>
      </w:pPr>
      <w:r>
        <w:t>4.3 Data adapters</w:t>
      </w:r>
    </w:p>
    <w:p>
      <w:pPr>
        <w:pStyle w:val="ListBullet"/>
      </w:pPr>
      <w:r>
        <w:t>CSV and JSON demonstration files</w:t>
      </w:r>
    </w:p>
    <w:p>
      <w:pPr>
        <w:pStyle w:val="ListBullet"/>
      </w:pPr>
      <w:r>
        <w:t>Parquet research datasets</w:t>
      </w:r>
    </w:p>
    <w:p>
      <w:pPr>
        <w:pStyle w:val="ListBullet"/>
      </w:pPr>
      <w:r>
        <w:t>SQLite or PostgreSQL persistence</w:t>
      </w:r>
    </w:p>
    <w:p>
      <w:pPr>
        <w:pStyle w:val="ListBullet"/>
      </w:pPr>
      <w:r>
        <w:t>External market-data API adapter</w:t>
      </w:r>
    </w:p>
    <w:p>
      <w:pPr>
        <w:pStyle w:val="ListBullet"/>
      </w:pPr>
      <w:r>
        <w:t>Synthetic market generator for tests and examples</w:t>
      </w:r>
    </w:p>
    <w:p>
      <w:pPr>
        <w:pStyle w:val="Heading2"/>
      </w:pPr>
      <w:r>
        <w:t>4.4 Validation rules</w:t>
      </w:r>
    </w:p>
    <w:p>
      <w:pPr>
        <w:pStyle w:val="ListBullet"/>
      </w:pPr>
      <w:r>
        <w:t>Missing, duplicate or stale quotes</w:t>
      </w:r>
    </w:p>
    <w:p>
      <w:pPr>
        <w:pStyle w:val="ListBullet"/>
      </w:pPr>
      <w:r>
        <w:t>Invalid dates, currencies or instrument definitions</w:t>
      </w:r>
    </w:p>
    <w:p>
      <w:pPr>
        <w:pStyle w:val="ListBullet"/>
      </w:pPr>
      <w:r>
        <w:t>Crossed bid and ask values</w:t>
      </w:r>
    </w:p>
    <w:p>
      <w:pPr>
        <w:pStyle w:val="ListBullet"/>
      </w:pPr>
      <w:r>
        <w:t>Invalid discount factors or inconsistent curve pillars</w:t>
      </w:r>
    </w:p>
    <w:p>
      <w:pPr>
        <w:pStyle w:val="ListBullet"/>
      </w:pPr>
      <w:r>
        <w:t>Impossible or unstable volatility values</w:t>
      </w:r>
    </w:p>
    <w:p>
      <w:pPr>
        <w:pStyle w:val="ListBullet"/>
      </w:pPr>
      <w:r>
        <w:t>Missing historical fixings</w:t>
      </w:r>
    </w:p>
    <w:p>
      <w:pPr>
        <w:pStyle w:val="ListBullet"/>
      </w:pPr>
      <w:r>
        <w:t>Static-arbitrage violations where detectable</w:t>
      </w:r>
    </w:p>
    <w:p>
      <w:pPr>
        <w:pStyle w:val="ListBullet"/>
      </w:pPr>
      <w:r>
        <w:t>Extrapolation outside approved domains</w:t>
      </w:r>
    </w:p>
    <w:p>
      <w:pPr>
        <w:pStyle w:val="Heading1"/>
      </w:pPr>
      <w:r>
        <w:t>5. Dates, schedules and cash flows</w:t>
      </w:r>
    </w:p>
    <w:p>
      <w:pPr>
        <w:pStyle w:val="Heading2"/>
      </w:pPr>
      <w:r>
        <w:t>5.1 Date and calendar engine</w:t>
      </w:r>
    </w:p>
    <w:p>
      <w:pPr>
        <w:pStyle w:val="ListBullet"/>
      </w:pPr>
      <w:r>
        <w:t>Date and tenor arithmetic</w:t>
      </w:r>
    </w:p>
    <w:p>
      <w:pPr>
        <w:pStyle w:val="ListBullet"/>
      </w:pPr>
      <w:r>
        <w:t>Holiday calendars and joint calendars</w:t>
      </w:r>
    </w:p>
    <w:p>
      <w:pPr>
        <w:pStyle w:val="ListBullet"/>
      </w:pPr>
      <w:r>
        <w:t>Leap-year and end-of-month rules</w:t>
      </w:r>
    </w:p>
    <w:p>
      <w:pPr>
        <w:pStyle w:val="ListBullet"/>
      </w:pPr>
      <w:r>
        <w:t>Settlement, fixing, reset and payment-date calculations</w:t>
      </w:r>
    </w:p>
    <w:p>
      <w:pPr>
        <w:pStyle w:val="ListBullet"/>
      </w:pPr>
      <w:r>
        <w:t>Observation shifts, lookbacks, lockouts and rate cut-offs</w:t>
      </w:r>
    </w:p>
    <w:p>
      <w:pPr>
        <w:pStyle w:val="Heading2"/>
      </w:pPr>
      <w:r>
        <w:t>5.2 Supported business-day and day-count conventions</w:t>
      </w:r>
    </w:p>
    <w:tbl>
      <w:tblPr>
        <w:tblStyle w:val="TableGrid"/>
        <w:tblW w:type="auto" w:w="0"/>
        <w:jc w:val="center"/>
        <w:tblLook w:firstColumn="1" w:firstRow="1" w:lastColumn="0" w:lastRow="0" w:noHBand="0" w:noVBand="1" w:val="04A0"/>
      </w:tblPr>
      <w:tblGrid>
        <w:gridCol w:w="4968"/>
        <w:gridCol w:w="4968"/>
      </w:tblGrid>
      <w:tr>
        <w:tc>
          <w:tcPr>
            <w:tcW w:type="dxa" w:w="2304"/>
            <w:shd w:fill="1F4E78"/>
            <w:vAlign w:val="center"/>
          </w:tcPr>
          <w:p>
            <w:r>
              <w:rPr>
                <w:b/>
                <w:color w:val="FFFFFF"/>
                <w:sz w:val="18"/>
              </w:rPr>
              <w:t>Category</w:t>
            </w:r>
          </w:p>
        </w:tc>
        <w:tc>
          <w:tcPr>
            <w:tcW w:type="dxa" w:w="7200"/>
            <w:shd w:fill="1F4E78"/>
            <w:vAlign w:val="center"/>
          </w:tcPr>
          <w:p>
            <w:r>
              <w:rPr>
                <w:b/>
                <w:color w:val="FFFFFF"/>
                <w:sz w:val="18"/>
              </w:rPr>
              <w:t>Conventions</w:t>
            </w:r>
          </w:p>
        </w:tc>
      </w:tr>
      <w:tr>
        <w:tc>
          <w:tcPr>
            <w:tcW w:type="dxa" w:w="2304"/>
            <w:vAlign w:val="top"/>
          </w:tcPr>
          <w:p>
            <w:r>
              <w:rPr>
                <w:sz w:val="18"/>
              </w:rPr>
              <w:t>Business-day adjustment</w:t>
            </w:r>
          </w:p>
        </w:tc>
        <w:tc>
          <w:tcPr>
            <w:tcW w:type="dxa" w:w="7200"/>
            <w:vAlign w:val="top"/>
          </w:tcPr>
          <w:p>
            <w:r>
              <w:rPr>
                <w:sz w:val="18"/>
              </w:rPr>
              <w:t>Following, Modified Following, Preceding, Modified Preceding and Unadjusted</w:t>
            </w:r>
          </w:p>
        </w:tc>
      </w:tr>
      <w:tr>
        <w:tc>
          <w:tcPr>
            <w:tcW w:type="dxa" w:w="2304"/>
            <w:vAlign w:val="top"/>
          </w:tcPr>
          <w:p>
            <w:r>
              <w:rPr>
                <w:sz w:val="18"/>
              </w:rPr>
              <w:t>Day count</w:t>
            </w:r>
          </w:p>
        </w:tc>
        <w:tc>
          <w:tcPr>
            <w:tcW w:type="dxa" w:w="7200"/>
            <w:vAlign w:val="top"/>
          </w:tcPr>
          <w:p>
            <w:r>
              <w:rPr>
                <w:sz w:val="18"/>
              </w:rPr>
              <w:t>Actual/360, Actual/365 Fixed, Actual/Actual, 30/360 and 30E/360</w:t>
            </w:r>
          </w:p>
        </w:tc>
      </w:tr>
      <w:tr>
        <w:tc>
          <w:tcPr>
            <w:tcW w:type="dxa" w:w="2304"/>
            <w:vAlign w:val="top"/>
          </w:tcPr>
          <w:p>
            <w:r>
              <w:rPr>
                <w:sz w:val="18"/>
              </w:rPr>
              <w:t>Schedule generation</w:t>
            </w:r>
          </w:p>
        </w:tc>
        <w:tc>
          <w:tcPr>
            <w:tcW w:type="dxa" w:w="7200"/>
            <w:vAlign w:val="top"/>
          </w:tcPr>
          <w:p>
            <w:r>
              <w:rPr>
                <w:sz w:val="18"/>
              </w:rPr>
              <w:t>Forward or backward generation, regular periods, short or long initial and final stubs</w:t>
            </w:r>
          </w:p>
        </w:tc>
      </w:tr>
    </w:tbl>
    <w:p/>
    <w:p>
      <w:pPr>
        <w:pStyle w:val="Heading2"/>
      </w:pPr>
      <w:r>
        <w:t>5.3 Cash-flow framework</w:t>
      </w:r>
    </w:p>
    <w:p>
      <w:pPr>
        <w:pStyle w:val="ListBullet"/>
      </w:pPr>
      <w:r>
        <w:t>Fixed coupons</w:t>
      </w:r>
    </w:p>
    <w:p>
      <w:pPr>
        <w:pStyle w:val="ListBullet"/>
      </w:pPr>
      <w:r>
        <w:t>Term floating coupons</w:t>
      </w:r>
    </w:p>
    <w:p>
      <w:pPr>
        <w:pStyle w:val="ListBullet"/>
      </w:pPr>
      <w:r>
        <w:t>Compounded overnight coupons</w:t>
      </w:r>
    </w:p>
    <w:p>
      <w:pPr>
        <w:pStyle w:val="ListBullet"/>
      </w:pPr>
      <w:r>
        <w:t>Averaged coupons</w:t>
      </w:r>
    </w:p>
    <w:p>
      <w:pPr>
        <w:pStyle w:val="ListBullet"/>
      </w:pPr>
      <w:r>
        <w:t>Notional exchanges</w:t>
      </w:r>
    </w:p>
    <w:p>
      <w:pPr>
        <w:pStyle w:val="ListBullet"/>
      </w:pPr>
      <w:r>
        <w:t>Option and digital payoffs</w:t>
      </w:r>
    </w:p>
    <w:p>
      <w:pPr>
        <w:pStyle w:val="ListBullet"/>
      </w:pPr>
      <w:r>
        <w:t>Range-accrual coupons</w:t>
      </w:r>
    </w:p>
    <w:p>
      <w:pPr>
        <w:pStyle w:val="ListBullet"/>
      </w:pPr>
      <w:r>
        <w:t>Redemption and fee payments</w:t>
      </w:r>
    </w:p>
    <w:p>
      <w:pPr>
        <w:pStyle w:val="Heading1"/>
      </w:pPr>
      <w:r>
        <w:t>6. Curves and volatility</w:t>
      </w:r>
    </w:p>
    <w:p>
      <w:pPr>
        <w:pStyle w:val="Heading2"/>
      </w:pPr>
      <w:r>
        <w:t>6.1 Multi-curve construction</w:t>
      </w:r>
    </w:p>
    <w:p>
      <w:r>
        <w:t>Discounting and projection are represented separately. A currency may therefore have an OIS discount curve and one or more term forward curves, with basis curves where required.</w:t>
      </w:r>
    </w:p>
    <w:tbl>
      <w:tblPr>
        <w:tblStyle w:val="TableGrid"/>
        <w:tblW w:type="auto" w:w="0"/>
        <w:jc w:val="center"/>
        <w:tblLook w:firstColumn="1" w:firstRow="1" w:lastColumn="0" w:lastRow="0" w:noHBand="0" w:noVBand="1" w:val="04A0"/>
      </w:tblPr>
      <w:tblGrid>
        <w:gridCol w:w="4968"/>
        <w:gridCol w:w="4968"/>
      </w:tblGrid>
      <w:tr>
        <w:tc>
          <w:tcPr>
            <w:tcW w:type="dxa" w:w="1944"/>
            <w:shd w:fill="1F4E78"/>
            <w:vAlign w:val="center"/>
          </w:tcPr>
          <w:p>
            <w:r>
              <w:rPr>
                <w:b/>
                <w:color w:val="FFFFFF"/>
                <w:sz w:val="18"/>
              </w:rPr>
              <w:t>Capability</w:t>
            </w:r>
          </w:p>
        </w:tc>
        <w:tc>
          <w:tcPr>
            <w:tcW w:type="dxa" w:w="7560"/>
            <w:shd w:fill="1F4E78"/>
            <w:vAlign w:val="center"/>
          </w:tcPr>
          <w:p>
            <w:r>
              <w:rPr>
                <w:b/>
                <w:color w:val="FFFFFF"/>
                <w:sz w:val="18"/>
              </w:rPr>
              <w:t>Functionality</w:t>
            </w:r>
          </w:p>
        </w:tc>
      </w:tr>
      <w:tr>
        <w:tc>
          <w:tcPr>
            <w:tcW w:type="dxa" w:w="1944"/>
            <w:vAlign w:val="top"/>
          </w:tcPr>
          <w:p>
            <w:r>
              <w:rPr>
                <w:sz w:val="18"/>
              </w:rPr>
              <w:t>Calibration instruments</w:t>
            </w:r>
          </w:p>
        </w:tc>
        <w:tc>
          <w:tcPr>
            <w:tcW w:type="dxa" w:w="7560"/>
            <w:vAlign w:val="top"/>
          </w:tcPr>
          <w:p>
            <w:r>
              <w:rPr>
                <w:sz w:val="18"/>
              </w:rPr>
              <w:t>Deposits, futures, FRAs, OIS, vanilla swaps, basis swaps and bonds</w:t>
            </w:r>
          </w:p>
        </w:tc>
      </w:tr>
      <w:tr>
        <w:tc>
          <w:tcPr>
            <w:tcW w:type="dxa" w:w="1944"/>
            <w:vAlign w:val="top"/>
          </w:tcPr>
          <w:p>
            <w:r>
              <w:rPr>
                <w:sz w:val="18"/>
              </w:rPr>
              <w:t>Methods</w:t>
            </w:r>
          </w:p>
        </w:tc>
        <w:tc>
          <w:tcPr>
            <w:tcW w:type="dxa" w:w="7560"/>
            <w:vAlign w:val="top"/>
          </w:tcPr>
          <w:p>
            <w:r>
              <w:rPr>
                <w:sz w:val="18"/>
              </w:rPr>
              <w:t>Sequential bootstrap, global least squares and constrained optimisation</w:t>
            </w:r>
          </w:p>
        </w:tc>
      </w:tr>
      <w:tr>
        <w:tc>
          <w:tcPr>
            <w:tcW w:type="dxa" w:w="1944"/>
            <w:vAlign w:val="top"/>
          </w:tcPr>
          <w:p>
            <w:r>
              <w:rPr>
                <w:sz w:val="18"/>
              </w:rPr>
              <w:t>Interpolation</w:t>
            </w:r>
          </w:p>
        </w:tc>
        <w:tc>
          <w:tcPr>
            <w:tcW w:type="dxa" w:w="7560"/>
            <w:vAlign w:val="top"/>
          </w:tcPr>
          <w:p>
            <w:r>
              <w:rPr>
                <w:sz w:val="18"/>
              </w:rPr>
              <w:t>Log-linear discount factors, linear zero rates, monotone cubic and piecewise-constant forwards</w:t>
            </w:r>
          </w:p>
        </w:tc>
      </w:tr>
      <w:tr>
        <w:tc>
          <w:tcPr>
            <w:tcW w:type="dxa" w:w="1944"/>
            <w:vAlign w:val="top"/>
          </w:tcPr>
          <w:p>
            <w:r>
              <w:rPr>
                <w:sz w:val="18"/>
              </w:rPr>
              <w:t>Outputs</w:t>
            </w:r>
          </w:p>
        </w:tc>
        <w:tc>
          <w:tcPr>
            <w:tcW w:type="dxa" w:w="7560"/>
            <w:vAlign w:val="top"/>
          </w:tcPr>
          <w:p>
            <w:r>
              <w:rPr>
                <w:sz w:val="18"/>
              </w:rPr>
              <w:t>Node values, zero rates, forwards, residuals, Jacobian and quote sensitivities</w:t>
            </w:r>
          </w:p>
        </w:tc>
      </w:tr>
      <w:tr>
        <w:tc>
          <w:tcPr>
            <w:tcW w:type="dxa" w:w="1944"/>
            <w:vAlign w:val="top"/>
          </w:tcPr>
          <w:p>
            <w:r>
              <w:rPr>
                <w:sz w:val="18"/>
              </w:rPr>
              <w:t>Controls</w:t>
            </w:r>
          </w:p>
        </w:tc>
        <w:tc>
          <w:tcPr>
            <w:tcW w:type="dxa" w:w="7560"/>
            <w:vAlign w:val="top"/>
          </w:tcPr>
          <w:p>
            <w:r>
              <w:rPr>
                <w:sz w:val="18"/>
              </w:rPr>
              <w:t>Explicit extrapolation policy, monotonicity checks and calibration tolerances</w:t>
            </w:r>
          </w:p>
        </w:tc>
      </w:tr>
    </w:tbl>
    <w:p/>
    <w:p>
      <w:pPr>
        <w:pStyle w:val="Heading2"/>
      </w:pPr>
      <w:r>
        <w:t>6.2 Volatility structures</w:t>
      </w:r>
    </w:p>
    <w:p>
      <w:pPr>
        <w:pStyle w:val="ListBullet"/>
      </w:pPr>
      <w:r>
        <w:t>Constant volatility and expiry curves</w:t>
      </w:r>
    </w:p>
    <w:p>
      <w:pPr>
        <w:pStyle w:val="ListBullet"/>
      </w:pPr>
      <w:r>
        <w:t>Strike smiles</w:t>
      </w:r>
    </w:p>
    <w:p>
      <w:pPr>
        <w:pStyle w:val="ListBullet"/>
      </w:pPr>
      <w:r>
        <w:t>Expiry-strike surfaces</w:t>
      </w:r>
    </w:p>
    <w:p>
      <w:pPr>
        <w:pStyle w:val="ListBullet"/>
      </w:pPr>
      <w:r>
        <w:t>Swaption expiry-tenor matrices</w:t>
      </w:r>
    </w:p>
    <w:p>
      <w:pPr>
        <w:pStyle w:val="ListBullet"/>
      </w:pPr>
      <w:r>
        <w:t>Swaption volatility cubes</w:t>
      </w:r>
    </w:p>
    <w:p>
      <w:pPr>
        <w:pStyle w:val="ListBullet"/>
      </w:pPr>
      <w:r>
        <w:t>SABR parameter surfaces</w:t>
      </w:r>
    </w:p>
    <w:p>
      <w:pPr>
        <w:pStyle w:val="Heading2"/>
      </w:pPr>
      <w:r>
        <w:t>6.3 Quote conventions and consistency</w:t>
      </w:r>
    </w:p>
    <w:p>
      <w:pPr>
        <w:pStyle w:val="ListBullet"/>
      </w:pPr>
      <w:r>
        <w:t>Normal volatility</w:t>
      </w:r>
    </w:p>
    <w:p>
      <w:pPr>
        <w:pStyle w:val="ListBullet"/>
      </w:pPr>
      <w:r>
        <w:t>Lognormal volatility</w:t>
      </w:r>
    </w:p>
    <w:p>
      <w:pPr>
        <w:pStyle w:val="ListBullet"/>
      </w:pPr>
      <w:r>
        <w:t>Shifted-lognormal volatility</w:t>
      </w:r>
    </w:p>
    <w:p>
      <w:pPr>
        <w:pStyle w:val="ListBullet"/>
      </w:pPr>
      <w:r>
        <w:t>Option price quotes</w:t>
      </w:r>
    </w:p>
    <w:p>
      <w:pPr>
        <w:pStyle w:val="ListBullet"/>
      </w:pPr>
      <w:r>
        <w:t>Strike, absolute moneyness, relative moneyness and delta coordinates</w:t>
      </w:r>
    </w:p>
    <w:p>
      <w:pPr>
        <w:pStyle w:val="ListBullet"/>
      </w:pPr>
      <w:r>
        <w:t>Convexity, monotonicity and calendar-consistency checks</w:t>
      </w:r>
    </w:p>
    <w:p>
      <w:pPr>
        <w:pStyle w:val="Heading1"/>
      </w:pPr>
      <w:r>
        <w:t>7. Models and calibration</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fill="1F4E78"/>
            <w:vAlign w:val="center"/>
          </w:tcPr>
          <w:p>
            <w:r>
              <w:rPr>
                <w:b/>
                <w:color w:val="FFFFFF"/>
                <w:sz w:val="18"/>
              </w:rPr>
              <w:t>Model</w:t>
            </w:r>
          </w:p>
        </w:tc>
        <w:tc>
          <w:tcPr>
            <w:tcW w:type="dxa" w:w="4968"/>
            <w:shd w:fill="1F4E78"/>
            <w:vAlign w:val="center"/>
          </w:tcPr>
          <w:p>
            <w:r>
              <w:rPr>
                <w:b/>
                <w:color w:val="FFFFFF"/>
                <w:sz w:val="18"/>
              </w:rPr>
              <w:t>Primary use</w:t>
            </w:r>
          </w:p>
        </w:tc>
        <w:tc>
          <w:tcPr>
            <w:tcW w:type="dxa" w:w="2664"/>
            <w:shd w:fill="1F4E78"/>
            <w:vAlign w:val="center"/>
          </w:tcPr>
          <w:p>
            <w:r>
              <w:rPr>
                <w:b/>
                <w:color w:val="FFFFFF"/>
                <w:sz w:val="18"/>
              </w:rPr>
              <w:t>Core outputs</w:t>
            </w:r>
          </w:p>
        </w:tc>
      </w:tr>
      <w:tr>
        <w:tc>
          <w:tcPr>
            <w:tcW w:type="dxa" w:w="1872"/>
            <w:vAlign w:val="top"/>
          </w:tcPr>
          <w:p>
            <w:r>
              <w:rPr>
                <w:sz w:val="18"/>
              </w:rPr>
              <w:t>Black 76</w:t>
            </w:r>
          </w:p>
        </w:tc>
        <w:tc>
          <w:tcPr>
            <w:tcW w:type="dxa" w:w="4968"/>
            <w:vAlign w:val="top"/>
          </w:tcPr>
          <w:p>
            <w:r>
              <w:rPr>
                <w:sz w:val="18"/>
              </w:rPr>
              <w:t>Caps, floors and European swaptions under lognormal volatility</w:t>
            </w:r>
          </w:p>
        </w:tc>
        <w:tc>
          <w:tcPr>
            <w:tcW w:type="dxa" w:w="2664"/>
            <w:vAlign w:val="top"/>
          </w:tcPr>
          <w:p>
            <w:r>
              <w:rPr>
                <w:sz w:val="18"/>
              </w:rPr>
              <w:t>PV, analytic Greeks and implied volatility</w:t>
            </w:r>
          </w:p>
        </w:tc>
      </w:tr>
      <w:tr>
        <w:tc>
          <w:tcPr>
            <w:tcW w:type="dxa" w:w="1872"/>
            <w:vAlign w:val="top"/>
          </w:tcPr>
          <w:p>
            <w:r>
              <w:rPr>
                <w:sz w:val="18"/>
              </w:rPr>
              <w:t>Bachelier</w:t>
            </w:r>
          </w:p>
        </w:tc>
        <w:tc>
          <w:tcPr>
            <w:tcW w:type="dxa" w:w="4968"/>
            <w:vAlign w:val="top"/>
          </w:tcPr>
          <w:p>
            <w:r>
              <w:rPr>
                <w:sz w:val="18"/>
              </w:rPr>
              <w:t>Normal-volatility products and low or negative rate environments</w:t>
            </w:r>
          </w:p>
        </w:tc>
        <w:tc>
          <w:tcPr>
            <w:tcW w:type="dxa" w:w="2664"/>
            <w:vAlign w:val="top"/>
          </w:tcPr>
          <w:p>
            <w:r>
              <w:rPr>
                <w:sz w:val="18"/>
              </w:rPr>
              <w:t>PV, normal Greeks and implied normal volatility</w:t>
            </w:r>
          </w:p>
        </w:tc>
      </w:tr>
      <w:tr>
        <w:tc>
          <w:tcPr>
            <w:tcW w:type="dxa" w:w="1872"/>
            <w:vAlign w:val="top"/>
          </w:tcPr>
          <w:p>
            <w:r>
              <w:rPr>
                <w:sz w:val="18"/>
              </w:rPr>
              <w:t>Shifted lognormal</w:t>
            </w:r>
          </w:p>
        </w:tc>
        <w:tc>
          <w:tcPr>
            <w:tcW w:type="dxa" w:w="4968"/>
            <w:vAlign w:val="top"/>
          </w:tcPr>
          <w:p>
            <w:r>
              <w:rPr>
                <w:sz w:val="18"/>
              </w:rPr>
              <w:t>Lognormal modelling with negative rates supported by a displacement</w:t>
            </w:r>
          </w:p>
        </w:tc>
        <w:tc>
          <w:tcPr>
            <w:tcW w:type="dxa" w:w="2664"/>
            <w:vAlign w:val="top"/>
          </w:tcPr>
          <w:p>
            <w:r>
              <w:rPr>
                <w:sz w:val="18"/>
              </w:rPr>
              <w:t>PV and shifted implied volatility</w:t>
            </w:r>
          </w:p>
        </w:tc>
      </w:tr>
      <w:tr>
        <w:tc>
          <w:tcPr>
            <w:tcW w:type="dxa" w:w="1872"/>
            <w:vAlign w:val="top"/>
          </w:tcPr>
          <w:p>
            <w:r>
              <w:rPr>
                <w:sz w:val="18"/>
              </w:rPr>
              <w:t>SABR</w:t>
            </w:r>
          </w:p>
        </w:tc>
        <w:tc>
          <w:tcPr>
            <w:tcW w:type="dxa" w:w="4968"/>
            <w:vAlign w:val="top"/>
          </w:tcPr>
          <w:p>
            <w:r>
              <w:rPr>
                <w:sz w:val="18"/>
              </w:rPr>
              <w:t>Smile and volatility-cube calibration</w:t>
            </w:r>
          </w:p>
        </w:tc>
        <w:tc>
          <w:tcPr>
            <w:tcW w:type="dxa" w:w="2664"/>
            <w:vAlign w:val="top"/>
          </w:tcPr>
          <w:p>
            <w:r>
              <w:rPr>
                <w:sz w:val="18"/>
              </w:rPr>
              <w:t>Alpha, beta, rho, nu, fitted smile and sensitivities</w:t>
            </w:r>
          </w:p>
        </w:tc>
      </w:tr>
      <w:tr>
        <w:tc>
          <w:tcPr>
            <w:tcW w:type="dxa" w:w="1872"/>
            <w:vAlign w:val="top"/>
          </w:tcPr>
          <w:p>
            <w:r>
              <w:rPr>
                <w:sz w:val="18"/>
              </w:rPr>
              <w:t>Hull-White one factor</w:t>
            </w:r>
          </w:p>
        </w:tc>
        <w:tc>
          <w:tcPr>
            <w:tcW w:type="dxa" w:w="4968"/>
            <w:vAlign w:val="top"/>
          </w:tcPr>
          <w:p>
            <w:r>
              <w:rPr>
                <w:sz w:val="18"/>
              </w:rPr>
              <w:t>European and Bermudan swaptions, callable products and scenario generation</w:t>
            </w:r>
          </w:p>
        </w:tc>
        <w:tc>
          <w:tcPr>
            <w:tcW w:type="dxa" w:w="2664"/>
            <w:vAlign w:val="top"/>
          </w:tcPr>
          <w:p>
            <w:r>
              <w:rPr>
                <w:sz w:val="18"/>
              </w:rPr>
              <w:t>Calibrated mean reversion, volatility, tree and simulated paths</w:t>
            </w:r>
          </w:p>
        </w:tc>
      </w:tr>
    </w:tbl>
    <w:p/>
    <w:p>
      <w:pPr>
        <w:pStyle w:val="Heading2"/>
      </w:pPr>
      <w:r>
        <w:t>7.1 SABR calibration</w:t>
      </w:r>
    </w:p>
    <w:p>
      <w:pPr>
        <w:pStyle w:val="ListBullet"/>
      </w:pPr>
      <w:r>
        <w:t>Price or volatility objective functions</w:t>
      </w:r>
    </w:p>
    <w:p>
      <w:pPr>
        <w:pStyle w:val="ListBullet"/>
      </w:pPr>
      <w:r>
        <w:t>Bid-ask-normalised weights</w:t>
      </w:r>
    </w:p>
    <w:p>
      <w:pPr>
        <w:pStyle w:val="ListBullet"/>
      </w:pPr>
      <w:r>
        <w:t>Parameter bounds and optional beta fixing</w:t>
      </w:r>
    </w:p>
    <w:p>
      <w:pPr>
        <w:pStyle w:val="ListBullet"/>
      </w:pPr>
      <w:r>
        <w:t>Cross-expiry smoothness penalties</w:t>
      </w:r>
    </w:p>
    <w:p>
      <w:pPr>
        <w:pStyle w:val="ListBullet"/>
      </w:pPr>
      <w:r>
        <w:t>Calibration residuals, Jacobian and convergence diagnostics</w:t>
      </w:r>
    </w:p>
    <w:p>
      <w:pPr>
        <w:pStyle w:val="ListBullet"/>
      </w:pPr>
      <w:r>
        <w:t>Sensitivity to raw market inputs</w:t>
      </w:r>
    </w:p>
    <w:p>
      <w:pPr>
        <w:pStyle w:val="Heading2"/>
      </w:pPr>
      <w:r>
        <w:t>7.2 Hull-White calibration</w:t>
      </w:r>
    </w:p>
    <w:p>
      <w:pPr>
        <w:pStyle w:val="ListBullet"/>
      </w:pPr>
      <w:r>
        <w:t>Fit the model to the initial term structure</w:t>
      </w:r>
    </w:p>
    <w:p>
      <w:pPr>
        <w:pStyle w:val="ListBullet"/>
      </w:pPr>
      <w:r>
        <w:t>Constant or piecewise mean reversion and volatility</w:t>
      </w:r>
    </w:p>
    <w:p>
      <w:pPr>
        <w:pStyle w:val="ListBullet"/>
      </w:pPr>
      <w:r>
        <w:t>Calibration to European swaption prices or volatilities</w:t>
      </w:r>
    </w:p>
    <w:p>
      <w:pPr>
        <w:pStyle w:val="ListBullet"/>
      </w:pPr>
      <w:r>
        <w:t>Analytic bond prices and European-option benchmarks</w:t>
      </w:r>
    </w:p>
    <w:p>
      <w:pPr>
        <w:pStyle w:val="ListBullet"/>
      </w:pPr>
      <w:r>
        <w:t>Tree and Monte Carlo state evolution</w:t>
      </w:r>
    </w:p>
    <w:p>
      <w:pPr>
        <w:pStyle w:val="Heading2"/>
      </w:pPr>
      <w:r>
        <w:t>7.3 Optimisation toolkit</w:t>
      </w:r>
    </w:p>
    <w:p>
      <w:pPr>
        <w:pStyle w:val="ListBullet"/>
      </w:pPr>
      <w:r>
        <w:t>Levenberg-Marquardt</w:t>
      </w:r>
    </w:p>
    <w:p>
      <w:pPr>
        <w:pStyle w:val="ListBullet"/>
      </w:pPr>
      <w:r>
        <w:t>BFGS and L-BFGS</w:t>
      </w:r>
    </w:p>
    <w:p>
      <w:pPr>
        <w:pStyle w:val="ListBullet"/>
      </w:pPr>
      <w:r>
        <w:t>Nelder-Mead</w:t>
      </w:r>
    </w:p>
    <w:p>
      <w:pPr>
        <w:pStyle w:val="ListBullet"/>
      </w:pPr>
      <w:r>
        <w:t>Grid-search initialisation</w:t>
      </w:r>
    </w:p>
    <w:p>
      <w:pPr>
        <w:pStyle w:val="ListBullet"/>
      </w:pPr>
      <w:r>
        <w:t>Optional differential-evolution global search</w:t>
      </w:r>
    </w:p>
    <w:p>
      <w:pPr>
        <w:pStyle w:val="ListBullet"/>
      </w:pPr>
      <w:r>
        <w:t>Root finders, linear algebra and constrained parameter transforms</w:t>
      </w:r>
    </w:p>
    <w:p>
      <w:pPr>
        <w:pStyle w:val="Heading1"/>
      </w:pPr>
      <w:r>
        <w:t>8. Pricing and numerical engines</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1F4E78"/>
            <w:vAlign w:val="center"/>
          </w:tcPr>
          <w:p>
            <w:r>
              <w:rPr>
                <w:b/>
                <w:color w:val="FFFFFF"/>
                <w:sz w:val="18"/>
              </w:rPr>
              <w:t>Engine family</w:t>
            </w:r>
          </w:p>
        </w:tc>
        <w:tc>
          <w:tcPr>
            <w:tcW w:type="dxa" w:w="5112"/>
            <w:shd w:fill="1F4E78"/>
            <w:vAlign w:val="center"/>
          </w:tcPr>
          <w:p>
            <w:r>
              <w:rPr>
                <w:b/>
                <w:color w:val="FFFFFF"/>
                <w:sz w:val="18"/>
              </w:rPr>
              <w:t>Products and uses</w:t>
            </w:r>
          </w:p>
        </w:tc>
        <w:tc>
          <w:tcPr>
            <w:tcW w:type="dxa" w:w="2520"/>
            <w:shd w:fill="1F4E78"/>
            <w:vAlign w:val="center"/>
          </w:tcPr>
          <w:p>
            <w:r>
              <w:rPr>
                <w:b/>
                <w:color w:val="FFFFFF"/>
                <w:sz w:val="18"/>
              </w:rPr>
              <w:t>Diagnostics</w:t>
            </w:r>
          </w:p>
        </w:tc>
      </w:tr>
      <w:tr>
        <w:tc>
          <w:tcPr>
            <w:tcW w:type="dxa" w:w="1944"/>
            <w:vAlign w:val="top"/>
          </w:tcPr>
          <w:p>
            <w:r>
              <w:rPr>
                <w:sz w:val="18"/>
              </w:rPr>
              <w:t>Analytic</w:t>
            </w:r>
          </w:p>
        </w:tc>
        <w:tc>
          <w:tcPr>
            <w:tcW w:type="dxa" w:w="5112"/>
            <w:vAlign w:val="top"/>
          </w:tcPr>
          <w:p>
            <w:r>
              <w:rPr>
                <w:sz w:val="18"/>
              </w:rPr>
              <w:t>Discounting, Black, Bachelier and analytic Hull-White benchmarks</w:t>
            </w:r>
          </w:p>
        </w:tc>
        <w:tc>
          <w:tcPr>
            <w:tcW w:type="dxa" w:w="2520"/>
            <w:vAlign w:val="top"/>
          </w:tcPr>
          <w:p>
            <w:r>
              <w:rPr>
                <w:sz w:val="18"/>
              </w:rPr>
              <w:t>Inputs, decomposition, parity and implied-vol checks</w:t>
            </w:r>
          </w:p>
        </w:tc>
      </w:tr>
      <w:tr>
        <w:tc>
          <w:tcPr>
            <w:tcW w:type="dxa" w:w="1944"/>
            <w:vAlign w:val="top"/>
          </w:tcPr>
          <w:p>
            <w:r>
              <w:rPr>
                <w:sz w:val="18"/>
              </w:rPr>
              <w:t>Lattice</w:t>
            </w:r>
          </w:p>
        </w:tc>
        <w:tc>
          <w:tcPr>
            <w:tcW w:type="dxa" w:w="5112"/>
            <w:vAlign w:val="top"/>
          </w:tcPr>
          <w:p>
            <w:r>
              <w:rPr>
                <w:sz w:val="18"/>
              </w:rPr>
              <w:t>Bermudan swaptions, callable swaps and callable bonds</w:t>
            </w:r>
          </w:p>
        </w:tc>
        <w:tc>
          <w:tcPr>
            <w:tcW w:type="dxa" w:w="2520"/>
            <w:vAlign w:val="top"/>
          </w:tcPr>
          <w:p>
            <w:r>
              <w:rPr>
                <w:sz w:val="18"/>
              </w:rPr>
              <w:t>Time-step convergence, state prices and exercise boundary</w:t>
            </w:r>
          </w:p>
        </w:tc>
      </w:tr>
      <w:tr>
        <w:tc>
          <w:tcPr>
            <w:tcW w:type="dxa" w:w="1944"/>
            <w:vAlign w:val="top"/>
          </w:tcPr>
          <w:p>
            <w:r>
              <w:rPr>
                <w:sz w:val="18"/>
              </w:rPr>
              <w:t>Monte Carlo</w:t>
            </w:r>
          </w:p>
        </w:tc>
        <w:tc>
          <w:tcPr>
            <w:tcW w:type="dxa" w:w="5112"/>
            <w:vAlign w:val="top"/>
          </w:tcPr>
          <w:p>
            <w:r>
              <w:rPr>
                <w:sz w:val="18"/>
              </w:rPr>
              <w:t>Path-dependent structures and flexible model dynamics</w:t>
            </w:r>
          </w:p>
        </w:tc>
        <w:tc>
          <w:tcPr>
            <w:tcW w:type="dxa" w:w="2520"/>
            <w:vAlign w:val="top"/>
          </w:tcPr>
          <w:p>
            <w:r>
              <w:rPr>
                <w:sz w:val="18"/>
              </w:rPr>
              <w:t>Confidence interval, seed, path count and convergence</w:t>
            </w:r>
          </w:p>
        </w:tc>
      </w:tr>
      <w:tr>
        <w:tc>
          <w:tcPr>
            <w:tcW w:type="dxa" w:w="1944"/>
            <w:vAlign w:val="top"/>
          </w:tcPr>
          <w:p>
            <w:r>
              <w:rPr>
                <w:sz w:val="18"/>
              </w:rPr>
              <w:t>Least-Squares Monte Carlo</w:t>
            </w:r>
          </w:p>
        </w:tc>
        <w:tc>
          <w:tcPr>
            <w:tcW w:type="dxa" w:w="5112"/>
            <w:vAlign w:val="top"/>
          </w:tcPr>
          <w:p>
            <w:r>
              <w:rPr>
                <w:sz w:val="18"/>
              </w:rPr>
              <w:t>Bermudan and callable products</w:t>
            </w:r>
          </w:p>
        </w:tc>
        <w:tc>
          <w:tcPr>
            <w:tcW w:type="dxa" w:w="2520"/>
            <w:vAlign w:val="top"/>
          </w:tcPr>
          <w:p>
            <w:r>
              <w:rPr>
                <w:sz w:val="18"/>
              </w:rPr>
              <w:t>Exercise probability, expected exercise date and regression error</w:t>
            </w:r>
          </w:p>
        </w:tc>
      </w:tr>
      <w:tr>
        <w:tc>
          <w:tcPr>
            <w:tcW w:type="dxa" w:w="1944"/>
            <w:vAlign w:val="top"/>
          </w:tcPr>
          <w:p>
            <w:r>
              <w:rPr>
                <w:sz w:val="18"/>
              </w:rPr>
              <w:t>Finite difference</w:t>
            </w:r>
          </w:p>
        </w:tc>
        <w:tc>
          <w:tcPr>
            <w:tcW w:type="dxa" w:w="5112"/>
            <w:vAlign w:val="top"/>
          </w:tcPr>
          <w:p>
            <w:r>
              <w:rPr>
                <w:sz w:val="18"/>
              </w:rPr>
              <w:t>Optional one-dimensional PDE products</w:t>
            </w:r>
          </w:p>
        </w:tc>
        <w:tc>
          <w:tcPr>
            <w:tcW w:type="dxa" w:w="2520"/>
            <w:vAlign w:val="top"/>
          </w:tcPr>
          <w:p>
            <w:r>
              <w:rPr>
                <w:sz w:val="18"/>
              </w:rPr>
              <w:t>Grid convergence, boundary conditions and stability</w:t>
            </w:r>
          </w:p>
        </w:tc>
      </w:tr>
    </w:tbl>
    <w:p/>
    <w:p>
      <w:pPr>
        <w:pStyle w:val="Heading2"/>
      </w:pPr>
      <w:r>
        <w:t>8.1 Monte Carlo infrastructure</w:t>
      </w:r>
    </w:p>
    <w:p>
      <w:pPr>
        <w:pStyle w:val="ListBullet"/>
      </w:pPr>
      <w:r>
        <w:t>Pseudo-random and Sobol sequences</w:t>
      </w:r>
    </w:p>
    <w:p>
      <w:pPr>
        <w:pStyle w:val="ListBullet"/>
      </w:pPr>
      <w:r>
        <w:t>Antithetic variates and control variates</w:t>
      </w:r>
    </w:p>
    <w:p>
      <w:pPr>
        <w:pStyle w:val="ListBullet"/>
      </w:pPr>
      <w:r>
        <w:t>Brownian bridge</w:t>
      </w:r>
    </w:p>
    <w:p>
      <w:pPr>
        <w:pStyle w:val="ListBullet"/>
      </w:pPr>
      <w:r>
        <w:t>Parallel path generation</w:t>
      </w:r>
    </w:p>
    <w:p>
      <w:pPr>
        <w:pStyle w:val="ListBullet"/>
      </w:pPr>
      <w:r>
        <w:t>Deterministic seeding</w:t>
      </w:r>
    </w:p>
    <w:p>
      <w:pPr>
        <w:pStyle w:val="ListBullet"/>
      </w:pPr>
      <w:r>
        <w:t>Reusable memory buffers</w:t>
      </w:r>
    </w:p>
    <w:p>
      <w:pPr>
        <w:pStyle w:val="ListBullet"/>
      </w:pPr>
      <w:r>
        <w:t>Confidence intervals and stopping diagnostics</w:t>
      </w:r>
    </w:p>
    <w:p>
      <w:pPr>
        <w:pStyle w:val="Heading2"/>
      </w:pPr>
      <w:r>
        <w:t>8.2 Least-Squares Monte Carlo workflow</w:t>
      </w:r>
    </w:p>
    <w:p>
      <w:pPr>
        <w:ind w:left="360" w:hanging="360"/>
      </w:pPr>
      <w:r>
        <w:rPr>
          <w:b/>
        </w:rPr>
        <w:t xml:space="preserve">1. </w:t>
      </w:r>
      <w:r>
        <w:t>Simulate state-variable paths.</w:t>
      </w:r>
    </w:p>
    <w:p>
      <w:pPr>
        <w:ind w:left="360" w:hanging="360"/>
      </w:pPr>
      <w:r>
        <w:rPr>
          <w:b/>
        </w:rPr>
        <w:t xml:space="preserve">2. </w:t>
      </w:r>
      <w:r>
        <w:t>Calculate immediate exercise value at every exercise date.</w:t>
      </w:r>
    </w:p>
    <w:p>
      <w:pPr>
        <w:ind w:left="360" w:hanging="360"/>
      </w:pPr>
      <w:r>
        <w:rPr>
          <w:b/>
        </w:rPr>
        <w:t xml:space="preserve">3. </w:t>
      </w:r>
      <w:r>
        <w:t>Work backwards through the exercise schedule.</w:t>
      </w:r>
    </w:p>
    <w:p>
      <w:pPr>
        <w:ind w:left="360" w:hanging="360"/>
      </w:pPr>
      <w:r>
        <w:rPr>
          <w:b/>
        </w:rPr>
        <w:t xml:space="preserve">4. </w:t>
      </w:r>
      <w:r>
        <w:t>Regress discounted continuation value against selected basis functions.</w:t>
      </w:r>
    </w:p>
    <w:p>
      <w:pPr>
        <w:ind w:left="360" w:hanging="360"/>
      </w:pPr>
      <w:r>
        <w:rPr>
          <w:b/>
        </w:rPr>
        <w:t xml:space="preserve">5. </w:t>
      </w:r>
      <w:r>
        <w:t>Exercise when immediate value exceeds estimated continuation value.</w:t>
      </w:r>
    </w:p>
    <w:p>
      <w:pPr>
        <w:ind w:left="360" w:hanging="360"/>
      </w:pPr>
      <w:r>
        <w:rPr>
          <w:b/>
        </w:rPr>
        <w:t xml:space="preserve">6. </w:t>
      </w:r>
      <w:r>
        <w:t>Discount realised cash flows and average across paths.</w:t>
      </w:r>
    </w:p>
    <w:p>
      <w:pPr>
        <w:ind w:left="360" w:hanging="360"/>
      </w:pPr>
      <w:r>
        <w:rPr>
          <w:b/>
        </w:rPr>
        <w:t xml:space="preserve">7. </w:t>
      </w:r>
      <w:r>
        <w:t>Report exercise probabilities, expected exercise date and regression diagnostics.</w:t>
      </w:r>
    </w:p>
    <w:p>
      <w:pPr>
        <w:pStyle w:val="Heading2"/>
      </w:pPr>
      <w:r>
        <w:t>8.3 Standard pricing result</w:t>
      </w:r>
    </w:p>
    <w:p>
      <w:pPr>
        <w:pStyle w:val="CodeBlock"/>
      </w:pPr>
      <w:r>
        <w:rPr>
          <w:rFonts w:ascii="Consolas" w:hAnsi="Consolas"/>
          <w:sz w:val="17"/>
        </w:rPr>
        <w:t>struct PricingResult {</w:t>
        <w:br/>
        <w:t xml:space="preserve">    double presentValue;</w:t>
        <w:br/>
        <w:t xml:space="preserve">    Currency currency;</w:t>
        <w:br/>
        <w:t xml:space="preserve">    std::optional&lt;double&gt; parRate;</w:t>
        <w:br/>
        <w:t xml:space="preserve">    std::optional&lt;double&gt; impliedVolatility;</w:t>
        <w:br/>
        <w:t xml:space="preserve">    SensitivitySet sensitivities;</w:t>
        <w:br/>
        <w:t xml:space="preserve">    PricingDiagnostics diagnostics;</w:t>
        <w:br/>
        <w:t xml:space="preserve">    CashFlowReport cashFlows;</w:t>
        <w:br/>
        <w:t>};</w:t>
      </w:r>
    </w:p>
    <w:p>
      <w:pPr>
        <w:pStyle w:val="Heading1"/>
      </w:pPr>
      <w:r>
        <w:t>9. Swaption and structured-product workflows</w:t>
      </w:r>
    </w:p>
    <w:p>
      <w:pPr>
        <w:pStyle w:val="Heading2"/>
      </w:pPr>
      <w:r>
        <w:t>9.1 European swaption workflow</w:t>
      </w:r>
    </w:p>
    <w:p>
      <w:pPr>
        <w:ind w:left="360" w:hanging="360"/>
      </w:pPr>
      <w:r>
        <w:rPr>
          <w:b/>
        </w:rPr>
        <w:t xml:space="preserve">1. </w:t>
      </w:r>
      <w:r>
        <w:t>Load the discount and forward curves for the swap currency and index.</w:t>
      </w:r>
    </w:p>
    <w:p>
      <w:pPr>
        <w:ind w:left="360" w:hanging="360"/>
      </w:pPr>
      <w:r>
        <w:rPr>
          <w:b/>
        </w:rPr>
        <w:t xml:space="preserve">2. </w:t>
      </w:r>
      <w:r>
        <w:t>Generate the complete underlying swap schedule and cash flows.</w:t>
      </w:r>
    </w:p>
    <w:p>
      <w:pPr>
        <w:ind w:left="360" w:hanging="360"/>
      </w:pPr>
      <w:r>
        <w:rPr>
          <w:b/>
        </w:rPr>
        <w:t xml:space="preserve">3. </w:t>
      </w:r>
      <w:r>
        <w:t>Calculate the forward swap rate and swap annuity.</w:t>
      </w:r>
    </w:p>
    <w:p>
      <w:pPr>
        <w:ind w:left="360" w:hanging="360"/>
      </w:pPr>
      <w:r>
        <w:rPr>
          <w:b/>
        </w:rPr>
        <w:t xml:space="preserve">4. </w:t>
      </w:r>
      <w:r>
        <w:t>Obtain the appropriate normal, lognormal or SABR-adjusted volatility.</w:t>
      </w:r>
    </w:p>
    <w:p>
      <w:pPr>
        <w:ind w:left="360" w:hanging="360"/>
      </w:pPr>
      <w:r>
        <w:rPr>
          <w:b/>
        </w:rPr>
        <w:t xml:space="preserve">5. </w:t>
      </w:r>
      <w:r>
        <w:t>Apply Black, Bachelier, shifted-lognormal or Hull-White pricing.</w:t>
      </w:r>
    </w:p>
    <w:p>
      <w:pPr>
        <w:ind w:left="360" w:hanging="360"/>
      </w:pPr>
      <w:r>
        <w:rPr>
          <w:b/>
        </w:rPr>
        <w:t xml:space="preserve">6. </w:t>
      </w:r>
      <w:r>
        <w:t>Return PV, intrinsic value, time value, Greeks and curve sensitivity.</w:t>
      </w:r>
    </w:p>
    <w:p>
      <w:pPr>
        <w:pStyle w:val="Heading2"/>
      </w:pPr>
      <w:r>
        <w:t>9.2 Bermudan swaption workflow</w:t>
      </w:r>
    </w:p>
    <w:p>
      <w:pPr>
        <w:ind w:left="360" w:hanging="360"/>
      </w:pPr>
      <w:r>
        <w:rPr>
          <w:b/>
        </w:rPr>
        <w:t xml:space="preserve">1. </w:t>
      </w:r>
      <w:r>
        <w:t>Calibrate Hull-White parameters to a selected swaption set.</w:t>
      </w:r>
    </w:p>
    <w:p>
      <w:pPr>
        <w:ind w:left="360" w:hanging="360"/>
      </w:pPr>
      <w:r>
        <w:rPr>
          <w:b/>
        </w:rPr>
        <w:t xml:space="preserve">2. </w:t>
      </w:r>
      <w:r>
        <w:t>Construct a calibrated trinomial tree or simulate model paths.</w:t>
      </w:r>
    </w:p>
    <w:p>
      <w:pPr>
        <w:ind w:left="360" w:hanging="360"/>
      </w:pPr>
      <w:r>
        <w:rPr>
          <w:b/>
        </w:rPr>
        <w:t xml:space="preserve">3. </w:t>
      </w:r>
      <w:r>
        <w:t>Evaluate exercise and continuation values on each permitted date.</w:t>
      </w:r>
    </w:p>
    <w:p>
      <w:pPr>
        <w:ind w:left="360" w:hanging="360"/>
      </w:pPr>
      <w:r>
        <w:rPr>
          <w:b/>
        </w:rPr>
        <w:t xml:space="preserve">4. </w:t>
      </w:r>
      <w:r>
        <w:t>Use backward induction or LSMC to determine the exercise policy.</w:t>
      </w:r>
    </w:p>
    <w:p>
      <w:pPr>
        <w:ind w:left="360" w:hanging="360"/>
      </w:pPr>
      <w:r>
        <w:rPr>
          <w:b/>
        </w:rPr>
        <w:t xml:space="preserve">5. </w:t>
      </w:r>
      <w:r>
        <w:t>Return PV, early-exercise premium, exercise probabilities and convergence diagnostics.</w:t>
      </w:r>
    </w:p>
    <w:p>
      <w:pPr>
        <w:pStyle w:val="Heading2"/>
      </w:pPr>
      <w:r>
        <w:t>9.3 Structured-product representation</w:t>
      </w:r>
    </w:p>
    <w:p>
      <w:r>
        <w:t>Structured products are represented through reusable schedules, observations, conditions, coupon rules, barriers, exercise rules and redemption rules rather than one monolithic class per payoff.</w:t>
      </w:r>
    </w:p>
    <w:p>
      <w:pPr>
        <w:pStyle w:val="CodeBlock"/>
      </w:pPr>
      <w:r>
        <w:rPr>
          <w:rFonts w:ascii="Consolas" w:hAnsi="Consolas"/>
          <w:sz w:val="17"/>
        </w:rPr>
        <w:t>struct ObservationRule {</w:t>
        <w:br/>
        <w:t xml:space="preserve">    Date observationDate;</w:t>
        <w:br/>
        <w:t xml:space="preserve">    Condition condition;</w:t>
        <w:br/>
        <w:t xml:space="preserve">    Payoff payoff;</w:t>
        <w:br/>
        <w:t>};</w:t>
        <w:br/>
        <w:br/>
        <w:t>struct StructuredProduct {</w:t>
        <w:br/>
        <w:t xml:space="preserve">    NotionalSchedule notionals;</w:t>
        <w:br/>
        <w:t xml:space="preserve">    std::vector&lt;ObservationRule&gt; observations;</w:t>
        <w:br/>
        <w:t xml:space="preserve">    RedemptionRule redemption;</w:t>
        <w:br/>
        <w:t xml:space="preserve">    ExerciseRule exercise;</w:t>
        <w:br/>
        <w:t>};</w:t>
      </w:r>
    </w:p>
    <w:p>
      <w:pPr>
        <w:pStyle w:val="Heading2"/>
      </w:pPr>
      <w:r>
        <w:t>9.4 Initial flagship structured product</w:t>
      </w:r>
    </w:p>
    <w:p>
      <w:r>
        <w:t>A callable range-accrual or callable swap is the recommended first structured-product module because it reuses the dates, curves, volatility, Hull-White, simulation and LSMC components already required for Bermudan swaptions.</w:t>
      </w:r>
    </w:p>
    <w:p>
      <w:pPr>
        <w:pStyle w:val="Heading1"/>
      </w:pPr>
      <w:r>
        <w:t>10. Risk, scenarios and portfolio analytics</w:t>
      </w:r>
    </w:p>
    <w:p>
      <w:pPr>
        <w:pStyle w:val="Heading2"/>
      </w:pPr>
      <w:r>
        <w:t>10.1 Risk factors and sensitivities</w:t>
      </w:r>
    </w:p>
    <w:tbl>
      <w:tblPr>
        <w:tblStyle w:val="TableGrid"/>
        <w:tblW w:type="auto" w:w="0"/>
        <w:jc w:val="center"/>
        <w:tblLook w:firstColumn="1" w:firstRow="1" w:lastColumn="0" w:lastRow="0" w:noHBand="0" w:noVBand="1" w:val="04A0"/>
      </w:tblPr>
      <w:tblGrid>
        <w:gridCol w:w="4968"/>
        <w:gridCol w:w="4968"/>
      </w:tblGrid>
      <w:tr>
        <w:tc>
          <w:tcPr>
            <w:tcW w:type="dxa" w:w="2088"/>
            <w:shd w:fill="1F4E78"/>
            <w:vAlign w:val="center"/>
          </w:tcPr>
          <w:p>
            <w:r>
              <w:rPr>
                <w:b/>
                <w:color w:val="FFFFFF"/>
                <w:sz w:val="18"/>
              </w:rPr>
              <w:t>Risk category</w:t>
            </w:r>
          </w:p>
        </w:tc>
        <w:tc>
          <w:tcPr>
            <w:tcW w:type="dxa" w:w="7344"/>
            <w:shd w:fill="1F4E78"/>
            <w:vAlign w:val="center"/>
          </w:tcPr>
          <w:p>
            <w:r>
              <w:rPr>
                <w:b/>
                <w:color w:val="FFFFFF"/>
                <w:sz w:val="18"/>
              </w:rPr>
              <w:t>Measures</w:t>
            </w:r>
          </w:p>
        </w:tc>
      </w:tr>
      <w:tr>
        <w:tc>
          <w:tcPr>
            <w:tcW w:type="dxa" w:w="2088"/>
            <w:vAlign w:val="top"/>
          </w:tcPr>
          <w:p>
            <w:r>
              <w:rPr>
                <w:sz w:val="18"/>
              </w:rPr>
              <w:t>Rates</w:t>
            </w:r>
          </w:p>
        </w:tc>
        <w:tc>
          <w:tcPr>
            <w:tcW w:type="dxa" w:w="7344"/>
            <w:vAlign w:val="top"/>
          </w:tcPr>
          <w:p>
            <w:r>
              <w:rPr>
                <w:sz w:val="18"/>
              </w:rPr>
              <w:t>Parallel PV01, bucketed PV01, key-rate duration, forward-curve delta and basis delta</w:t>
            </w:r>
          </w:p>
        </w:tc>
      </w:tr>
      <w:tr>
        <w:tc>
          <w:tcPr>
            <w:tcW w:type="dxa" w:w="2088"/>
            <w:vAlign w:val="top"/>
          </w:tcPr>
          <w:p>
            <w:r>
              <w:rPr>
                <w:sz w:val="18"/>
              </w:rPr>
              <w:t>Volatility</w:t>
            </w:r>
          </w:p>
        </w:tc>
        <w:tc>
          <w:tcPr>
            <w:tcW w:type="dxa" w:w="7344"/>
            <w:vAlign w:val="top"/>
          </w:tcPr>
          <w:p>
            <w:r>
              <w:rPr>
                <w:sz w:val="18"/>
              </w:rPr>
              <w:t>Parallel vega, bucketed vega, expiry-tenor vega and smile sensitivity</w:t>
            </w:r>
          </w:p>
        </w:tc>
      </w:tr>
      <w:tr>
        <w:tc>
          <w:tcPr>
            <w:tcW w:type="dxa" w:w="2088"/>
            <w:vAlign w:val="top"/>
          </w:tcPr>
          <w:p>
            <w:r>
              <w:rPr>
                <w:sz w:val="18"/>
              </w:rPr>
              <w:t>Model</w:t>
            </w:r>
          </w:p>
        </w:tc>
        <w:tc>
          <w:tcPr>
            <w:tcW w:type="dxa" w:w="7344"/>
            <w:vAlign w:val="top"/>
          </w:tcPr>
          <w:p>
            <w:r>
              <w:rPr>
                <w:sz w:val="18"/>
              </w:rPr>
              <w:t>SABR parameter sensitivity, Hull-White mean-reversion and volatility sensitivity</w:t>
            </w:r>
          </w:p>
        </w:tc>
      </w:tr>
      <w:tr>
        <w:tc>
          <w:tcPr>
            <w:tcW w:type="dxa" w:w="2088"/>
            <w:vAlign w:val="top"/>
          </w:tcPr>
          <w:p>
            <w:r>
              <w:rPr>
                <w:sz w:val="18"/>
              </w:rPr>
              <w:t>Higher order</w:t>
            </w:r>
          </w:p>
        </w:tc>
        <w:tc>
          <w:tcPr>
            <w:tcW w:type="dxa" w:w="7344"/>
            <w:vAlign w:val="top"/>
          </w:tcPr>
          <w:p>
            <w:r>
              <w:rPr>
                <w:sz w:val="18"/>
              </w:rPr>
              <w:t>Gamma, cross-gamma and theta</w:t>
            </w:r>
          </w:p>
        </w:tc>
      </w:tr>
      <w:tr>
        <w:tc>
          <w:tcPr>
            <w:tcW w:type="dxa" w:w="2088"/>
            <w:vAlign w:val="top"/>
          </w:tcPr>
          <w:p>
            <w:r>
              <w:rPr>
                <w:sz w:val="18"/>
              </w:rPr>
              <w:t>Other extensions</w:t>
            </w:r>
          </w:p>
        </w:tc>
        <w:tc>
          <w:tcPr>
            <w:tcW w:type="dxa" w:w="7344"/>
            <w:vAlign w:val="top"/>
          </w:tcPr>
          <w:p>
            <w:r>
              <w:rPr>
                <w:sz w:val="18"/>
              </w:rPr>
              <w:t>FX, correlation, credit spread, spot and dividend sensitivity</w:t>
            </w:r>
          </w:p>
        </w:tc>
      </w:tr>
    </w:tbl>
    <w:p/>
    <w:p>
      <w:pPr>
        <w:pStyle w:val="Heading2"/>
      </w:pPr>
      <w:r>
        <w:t>10.2 Scenario framework</w:t>
      </w:r>
    </w:p>
    <w:p>
      <w:pPr>
        <w:pStyle w:val="ListBullet"/>
      </w:pPr>
      <w:r>
        <w:t>Parallel rate shifts</w:t>
      </w:r>
    </w:p>
    <w:p>
      <w:pPr>
        <w:pStyle w:val="ListBullet"/>
      </w:pPr>
      <w:r>
        <w:t>Steepening and flattening</w:t>
      </w:r>
    </w:p>
    <w:p>
      <w:pPr>
        <w:pStyle w:val="ListBullet"/>
      </w:pPr>
      <w:r>
        <w:t>Individual curve-node shocks</w:t>
      </w:r>
    </w:p>
    <w:p>
      <w:pPr>
        <w:pStyle w:val="ListBullet"/>
      </w:pPr>
      <w:r>
        <w:t>Volatility parallel shifts and twists</w:t>
      </w:r>
    </w:p>
    <w:p>
      <w:pPr>
        <w:pStyle w:val="ListBullet"/>
      </w:pPr>
      <w:r>
        <w:t>SABR parameter shocks</w:t>
      </w:r>
    </w:p>
    <w:p>
      <w:pPr>
        <w:pStyle w:val="ListBullet"/>
      </w:pPr>
      <w:r>
        <w:t>Mean-reversion and model-volatility shocks</w:t>
      </w:r>
    </w:p>
    <w:p>
      <w:pPr>
        <w:pStyle w:val="ListBullet"/>
      </w:pPr>
      <w:r>
        <w:t>Historical scenarios</w:t>
      </w:r>
    </w:p>
    <w:p>
      <w:pPr>
        <w:pStyle w:val="ListBullet"/>
      </w:pPr>
      <w:r>
        <w:t>User-defined stress snapshots</w:t>
      </w:r>
    </w:p>
    <w:p>
      <w:pPr>
        <w:pStyle w:val="Heading2"/>
      </w:pPr>
      <w:r>
        <w:t>10.3 Trade and portfolio hierarchy</w:t>
      </w:r>
    </w:p>
    <w:p>
      <w:pPr>
        <w:pStyle w:val="ListBullet"/>
      </w:pPr>
      <w:r>
        <w:t>Trade identifier and economic instrument</w:t>
      </w:r>
    </w:p>
    <w:p>
      <w:pPr>
        <w:pStyle w:val="ListBullet"/>
      </w:pPr>
      <w:r>
        <w:t>Quantity, direction, premium and settlement information</w:t>
      </w:r>
    </w:p>
    <w:p>
      <w:pPr>
        <w:pStyle w:val="ListBullet"/>
      </w:pPr>
      <w:r>
        <w:t>Book, desk, trader and counterparty metadata</w:t>
      </w:r>
    </w:p>
    <w:p>
      <w:pPr>
        <w:pStyle w:val="ListBullet"/>
      </w:pPr>
      <w:r>
        <w:t>Portfolio reporting currency</w:t>
      </w:r>
    </w:p>
    <w:p>
      <w:pPr>
        <w:pStyle w:val="ListBullet"/>
      </w:pPr>
      <w:r>
        <w:t>Aggregation by trade, product, book, currency, curve, expiry and tenor</w:t>
      </w:r>
    </w:p>
    <w:p>
      <w:pPr>
        <w:pStyle w:val="Heading2"/>
      </w:pPr>
      <w:r>
        <w:t>10.4 Portfolio valuation behaviour</w:t>
      </w:r>
    </w:p>
    <w:p>
      <w:pPr>
        <w:pStyle w:val="ListBullet"/>
      </w:pPr>
      <w:r>
        <w:t>Parallel trade valuation</w:t>
      </w:r>
    </w:p>
    <w:p>
      <w:pPr>
        <w:pStyle w:val="ListBullet"/>
      </w:pPr>
      <w:r>
        <w:t>Shared market objects and calibrated models</w:t>
      </w:r>
    </w:p>
    <w:p>
      <w:pPr>
        <w:pStyle w:val="ListBullet"/>
      </w:pPr>
      <w:r>
        <w:t>Failed-trade isolation</w:t>
      </w:r>
    </w:p>
    <w:p>
      <w:pPr>
        <w:pStyle w:val="ListBullet"/>
      </w:pPr>
      <w:r>
        <w:t>Partial results with explicit error records</w:t>
      </w:r>
    </w:p>
    <w:p>
      <w:pPr>
        <w:pStyle w:val="ListBullet"/>
      </w:pPr>
      <w:r>
        <w:t>Cash-flow and sensitivity aggregation</w:t>
      </w:r>
    </w:p>
    <w:p>
      <w:pPr>
        <w:pStyle w:val="ListBullet"/>
      </w:pPr>
      <w:r>
        <w:t>Reporting-currency conversion</w:t>
      </w:r>
    </w:p>
    <w:p>
      <w:pPr>
        <w:pStyle w:val="Heading1"/>
      </w:pPr>
      <w:r>
        <w:t>11. Interfaces, persistence and observability</w:t>
      </w:r>
    </w:p>
    <w:p>
      <w:pPr>
        <w:pStyle w:val="Heading2"/>
      </w:pPr>
      <w:r>
        <w:t>11.1 Graphical workspaces</w:t>
      </w:r>
    </w:p>
    <w:tbl>
      <w:tblPr>
        <w:tblStyle w:val="TableGrid"/>
        <w:tblW w:type="auto" w:w="0"/>
        <w:jc w:val="center"/>
        <w:tblLook w:firstColumn="1" w:firstRow="1" w:lastColumn="0" w:lastRow="0" w:noHBand="0" w:noVBand="1" w:val="04A0"/>
      </w:tblPr>
      <w:tblGrid>
        <w:gridCol w:w="4968"/>
        <w:gridCol w:w="4968"/>
      </w:tblGrid>
      <w:tr>
        <w:tc>
          <w:tcPr>
            <w:tcW w:type="dxa" w:w="2160"/>
            <w:shd w:fill="1F4E78"/>
            <w:vAlign w:val="center"/>
          </w:tcPr>
          <w:p>
            <w:r>
              <w:rPr>
                <w:b/>
                <w:color w:val="FFFFFF"/>
                <w:sz w:val="18"/>
              </w:rPr>
              <w:t>Workspace</w:t>
            </w:r>
          </w:p>
        </w:tc>
        <w:tc>
          <w:tcPr>
            <w:tcW w:type="dxa" w:w="7272"/>
            <w:shd w:fill="1F4E78"/>
            <w:vAlign w:val="center"/>
          </w:tcPr>
          <w:p>
            <w:r>
              <w:rPr>
                <w:b/>
                <w:color w:val="FFFFFF"/>
                <w:sz w:val="18"/>
              </w:rPr>
              <w:t>Principal functionality</w:t>
            </w:r>
          </w:p>
        </w:tc>
      </w:tr>
      <w:tr>
        <w:tc>
          <w:tcPr>
            <w:tcW w:type="dxa" w:w="2160"/>
            <w:vAlign w:val="top"/>
          </w:tcPr>
          <w:p>
            <w:r>
              <w:rPr>
                <w:sz w:val="18"/>
              </w:rPr>
              <w:t>Market Data</w:t>
            </w:r>
          </w:p>
        </w:tc>
        <w:tc>
          <w:tcPr>
            <w:tcW w:type="dxa" w:w="7272"/>
            <w:vAlign w:val="top"/>
          </w:tcPr>
          <w:p>
            <w:r>
              <w:rPr>
                <w:sz w:val="18"/>
              </w:rPr>
              <w:t>Snapshot selection, quote tables, fixing history and validation warnings</w:t>
            </w:r>
          </w:p>
        </w:tc>
      </w:tr>
      <w:tr>
        <w:tc>
          <w:tcPr>
            <w:tcW w:type="dxa" w:w="2160"/>
            <w:vAlign w:val="top"/>
          </w:tcPr>
          <w:p>
            <w:r>
              <w:rPr>
                <w:sz w:val="18"/>
              </w:rPr>
              <w:t>Curves</w:t>
            </w:r>
          </w:p>
        </w:tc>
        <w:tc>
          <w:tcPr>
            <w:tcW w:type="dxa" w:w="7272"/>
            <w:vAlign w:val="top"/>
          </w:tcPr>
          <w:p>
            <w:r>
              <w:rPr>
                <w:sz w:val="18"/>
              </w:rPr>
              <w:t>Calibration instruments, zero rates, forwards, residuals and node sensitivities</w:t>
            </w:r>
          </w:p>
        </w:tc>
      </w:tr>
      <w:tr>
        <w:tc>
          <w:tcPr>
            <w:tcW w:type="dxa" w:w="2160"/>
            <w:vAlign w:val="top"/>
          </w:tcPr>
          <w:p>
            <w:r>
              <w:rPr>
                <w:sz w:val="18"/>
              </w:rPr>
              <w:t>Volatility</w:t>
            </w:r>
          </w:p>
        </w:tc>
        <w:tc>
          <w:tcPr>
            <w:tcW w:type="dxa" w:w="7272"/>
            <w:vAlign w:val="top"/>
          </w:tcPr>
          <w:p>
            <w:r>
              <w:rPr>
                <w:sz w:val="18"/>
              </w:rPr>
              <w:t>Expiry-tenor matrices, smiles, SABR parameters and calibration errors</w:t>
            </w:r>
          </w:p>
        </w:tc>
      </w:tr>
      <w:tr>
        <w:tc>
          <w:tcPr>
            <w:tcW w:type="dxa" w:w="2160"/>
            <w:vAlign w:val="top"/>
          </w:tcPr>
          <w:p>
            <w:r>
              <w:rPr>
                <w:sz w:val="18"/>
              </w:rPr>
              <w:t>Instrument Builder</w:t>
            </w:r>
          </w:p>
        </w:tc>
        <w:tc>
          <w:tcPr>
            <w:tcW w:type="dxa" w:w="7272"/>
            <w:vAlign w:val="top"/>
          </w:tcPr>
          <w:p>
            <w:r>
              <w:rPr>
                <w:sz w:val="18"/>
              </w:rPr>
              <w:t>Validated construction of swaps, swaptions, callable products and structured notes</w:t>
            </w:r>
          </w:p>
        </w:tc>
      </w:tr>
      <w:tr>
        <w:tc>
          <w:tcPr>
            <w:tcW w:type="dxa" w:w="2160"/>
            <w:vAlign w:val="top"/>
          </w:tcPr>
          <w:p>
            <w:r>
              <w:rPr>
                <w:sz w:val="18"/>
              </w:rPr>
              <w:t>Pricing</w:t>
            </w:r>
          </w:p>
        </w:tc>
        <w:tc>
          <w:tcPr>
            <w:tcW w:type="dxa" w:w="7272"/>
            <w:vAlign w:val="top"/>
          </w:tcPr>
          <w:p>
            <w:r>
              <w:rPr>
                <w:sz w:val="18"/>
              </w:rPr>
              <w:t>Model and engine selection, PV, cash flows, Greeks and diagnostics</w:t>
            </w:r>
          </w:p>
        </w:tc>
      </w:tr>
      <w:tr>
        <w:tc>
          <w:tcPr>
            <w:tcW w:type="dxa" w:w="2160"/>
            <w:vAlign w:val="top"/>
          </w:tcPr>
          <w:p>
            <w:r>
              <w:rPr>
                <w:sz w:val="18"/>
              </w:rPr>
              <w:t>Portfolio and Risk</w:t>
            </w:r>
          </w:p>
        </w:tc>
        <w:tc>
          <w:tcPr>
            <w:tcW w:type="dxa" w:w="7272"/>
            <w:vAlign w:val="top"/>
          </w:tcPr>
          <w:p>
            <w:r>
              <w:rPr>
                <w:sz w:val="18"/>
              </w:rPr>
              <w:t>Book valuation, risk heatmaps, scenarios and largest contributors</w:t>
            </w:r>
          </w:p>
        </w:tc>
      </w:tr>
      <w:tr>
        <w:tc>
          <w:tcPr>
            <w:tcW w:type="dxa" w:w="2160"/>
            <w:vAlign w:val="top"/>
          </w:tcPr>
          <w:p>
            <w:r>
              <w:rPr>
                <w:sz w:val="18"/>
              </w:rPr>
              <w:t>Diagnostics</w:t>
            </w:r>
          </w:p>
        </w:tc>
        <w:tc>
          <w:tcPr>
            <w:tcW w:type="dxa" w:w="7272"/>
            <w:vAlign w:val="top"/>
          </w:tcPr>
          <w:p>
            <w:r>
              <w:rPr>
                <w:sz w:val="18"/>
              </w:rPr>
              <w:t>Convergence, timing, warnings, tolerances and model assumptions</w:t>
            </w:r>
          </w:p>
        </w:tc>
      </w:tr>
    </w:tbl>
    <w:p/>
    <w:p>
      <w:pPr>
        <w:pStyle w:val="Heading2"/>
      </w:pPr>
      <w:r>
        <w:t>11.2 Python integration</w:t>
      </w:r>
    </w:p>
    <w:p>
      <w:r>
        <w:t>pybind11 exposes the C++ core to Python. Python owns data preparation, notebooks, calibration studies, charts, report generation and independent regression tests.</w:t>
      </w:r>
    </w:p>
    <w:p>
      <w:pPr>
        <w:pStyle w:val="CodeBlock"/>
      </w:pPr>
      <w:r>
        <w:rPr>
          <w:rFonts w:ascii="Consolas" w:hAnsi="Consolas"/>
          <w:sz w:val="17"/>
        </w:rPr>
        <w:t>import rates_engine as re</w:t>
        <w:br/>
        <w:br/>
        <w:t>market = re.load_market("data/market_snapshot.json")</w:t>
        <w:br/>
        <w:t>swaption = re.EuropeanSwaption(</w:t>
        <w:br/>
        <w:t xml:space="preserve">    currency="GBP", expiry="2Y", swap_tenor="10Y",</w:t>
        <w:br/>
        <w:t xml:space="preserve">    strike=0.035, payer=True</w:t>
        <w:br/>
        <w:t>)</w:t>
        <w:br/>
        <w:t>result = re.price(swaption, market, model="Bachelier")</w:t>
        <w:br/>
        <w:t>print(result.present_value, result.pv01, result.vega)</w:t>
      </w:r>
    </w:p>
    <w:p>
      <w:pPr>
        <w:pStyle w:val="Heading2"/>
      </w:pPr>
      <w:r>
        <w:t>11.3 Persistence</w:t>
      </w:r>
    </w:p>
    <w:p>
      <w:pPr>
        <w:pStyle w:val="ListBullet"/>
      </w:pPr>
      <w:r>
        <w:t>Market-data snapshots</w:t>
      </w:r>
    </w:p>
    <w:p>
      <w:pPr>
        <w:pStyle w:val="ListBullet"/>
      </w:pPr>
      <w:r>
        <w:t>Curve and volatility configurations</w:t>
      </w:r>
    </w:p>
    <w:p>
      <w:pPr>
        <w:pStyle w:val="ListBullet"/>
      </w:pPr>
      <w:r>
        <w:t>Calibration results and model parameters</w:t>
      </w:r>
    </w:p>
    <w:p>
      <w:pPr>
        <w:pStyle w:val="ListBullet"/>
      </w:pPr>
      <w:r>
        <w:t>Instrument, trade and portfolio definitions</w:t>
      </w:r>
    </w:p>
    <w:p>
      <w:pPr>
        <w:pStyle w:val="ListBullet"/>
      </w:pPr>
      <w:r>
        <w:t>Pricing and risk results</w:t>
      </w:r>
    </w:p>
    <w:p>
      <w:pPr>
        <w:pStyle w:val="ListBullet"/>
      </w:pPr>
      <w:r>
        <w:t>Scenarios and audit logs</w:t>
      </w:r>
    </w:p>
    <w:p>
      <w:pPr>
        <w:pStyle w:val="Heading2"/>
      </w:pPr>
      <w:r>
        <w:t>11.4 Reproducibility metadata</w:t>
      </w:r>
    </w:p>
    <w:p>
      <w:pPr>
        <w:pStyle w:val="ListBullet"/>
      </w:pPr>
      <w:r>
        <w:t>Market snapshot identifier and valuation timestamp</w:t>
      </w:r>
    </w:p>
    <w:p>
      <w:pPr>
        <w:pStyle w:val="ListBullet"/>
      </w:pPr>
      <w:r>
        <w:t>Model and pricing-engine versions</w:t>
      </w:r>
    </w:p>
    <w:p>
      <w:pPr>
        <w:pStyle w:val="ListBullet"/>
      </w:pPr>
      <w:r>
        <w:t>Calibration parameters and tolerances</w:t>
      </w:r>
    </w:p>
    <w:p>
      <w:pPr>
        <w:pStyle w:val="ListBullet"/>
      </w:pPr>
      <w:r>
        <w:t>Monte Carlo seed, path count and thread count</w:t>
      </w:r>
    </w:p>
    <w:p>
      <w:pPr>
        <w:pStyle w:val="ListBullet"/>
      </w:pPr>
      <w:r>
        <w:t>Source commit hash where available</w:t>
      </w:r>
    </w:p>
    <w:p>
      <w:pPr>
        <w:pStyle w:val="Heading2"/>
      </w:pPr>
      <w:r>
        <w:t>11.5 Logging and operational diagnostics</w:t>
      </w:r>
    </w:p>
    <w:p>
      <w:pPr>
        <w:pStyle w:val="ListBullet"/>
      </w:pPr>
      <w:r>
        <w:t>Structured trace, debug, information, warning and error logs</w:t>
      </w:r>
    </w:p>
    <w:p>
      <w:pPr>
        <w:pStyle w:val="ListBullet"/>
      </w:pPr>
      <w:r>
        <w:t>Pricing and calibration latency</w:t>
      </w:r>
    </w:p>
    <w:p>
      <w:pPr>
        <w:pStyle w:val="ListBullet"/>
      </w:pPr>
      <w:r>
        <w:t>Cache utilisation</w:t>
      </w:r>
    </w:p>
    <w:p>
      <w:pPr>
        <w:pStyle w:val="ListBullet"/>
      </w:pPr>
      <w:r>
        <w:t>Monte Carlo throughput</w:t>
      </w:r>
    </w:p>
    <w:p>
      <w:pPr>
        <w:pStyle w:val="ListBullet"/>
      </w:pPr>
      <w:r>
        <w:t>Failure counts by category</w:t>
      </w:r>
    </w:p>
    <w:p>
      <w:pPr>
        <w:pStyle w:val="ListBullet"/>
      </w:pPr>
      <w:r>
        <w:t>Data-quality and audit events</w:t>
      </w:r>
    </w:p>
    <w:p>
      <w:pPr>
        <w:pStyle w:val="Heading1"/>
      </w:pPr>
      <w:r>
        <w:t>12. Performance, testing and validation</w:t>
      </w:r>
    </w:p>
    <w:p>
      <w:pPr>
        <w:pStyle w:val="Heading2"/>
      </w:pPr>
      <w:r>
        <w:t>12.1 Performance design</w:t>
      </w:r>
    </w:p>
    <w:p>
      <w:pPr>
        <w:pStyle w:val="ListBullet"/>
      </w:pPr>
      <w:r>
        <w:t>Immutable shared market objects</w:t>
      </w:r>
    </w:p>
    <w:p>
      <w:pPr>
        <w:pStyle w:val="ListBullet"/>
      </w:pPr>
      <w:r>
        <w:t>Parallel portfolio and scenario valuation</w:t>
      </w:r>
    </w:p>
    <w:p>
      <w:pPr>
        <w:pStyle w:val="ListBullet"/>
      </w:pPr>
      <w:r>
        <w:t>Parallel Monte Carlo paths</w:t>
      </w:r>
    </w:p>
    <w:p>
      <w:pPr>
        <w:pStyle w:val="ListBullet"/>
      </w:pPr>
      <w:r>
        <w:t>Contiguous numerical arrays</w:t>
      </w:r>
    </w:p>
    <w:p>
      <w:pPr>
        <w:pStyle w:val="ListBullet"/>
      </w:pPr>
      <w:r>
        <w:t>Reusable simulation buffers</w:t>
      </w:r>
    </w:p>
    <w:p>
      <w:pPr>
        <w:pStyle w:val="ListBullet"/>
      </w:pPr>
      <w:r>
        <w:t>Cached schedules, annuities, tree structures and calibrated models</w:t>
      </w:r>
    </w:p>
    <w:p>
      <w:pPr>
        <w:pStyle w:val="ListBullet"/>
      </w:pPr>
      <w:r>
        <w:t>Explicit cache keys containing snapshot and configuration identifiers</w:t>
      </w:r>
    </w:p>
    <w:p>
      <w:pPr>
        <w:pStyle w:val="Heading2"/>
      </w:pPr>
      <w:r>
        <w:t>12.2 Benchmark suite</w:t>
      </w:r>
    </w:p>
    <w:p>
      <w:pPr>
        <w:pStyle w:val="ListBullet"/>
      </w:pPr>
      <w:r>
        <w:t>Single swap valuation</w:t>
      </w:r>
    </w:p>
    <w:p>
      <w:pPr>
        <w:pStyle w:val="ListBullet"/>
      </w:pPr>
      <w:r>
        <w:t>European swaption valuation</w:t>
      </w:r>
    </w:p>
    <w:p>
      <w:pPr>
        <w:pStyle w:val="ListBullet"/>
      </w:pPr>
      <w:r>
        <w:t>SABR smile calibration</w:t>
      </w:r>
    </w:p>
    <w:p>
      <w:pPr>
        <w:pStyle w:val="ListBullet"/>
      </w:pPr>
      <w:r>
        <w:t>Hull-White calibration</w:t>
      </w:r>
    </w:p>
    <w:p>
      <w:pPr>
        <w:pStyle w:val="ListBullet"/>
      </w:pPr>
      <w:r>
        <w:t>Bermudan tree valuation</w:t>
      </w:r>
    </w:p>
    <w:p>
      <w:pPr>
        <w:pStyle w:val="ListBullet"/>
      </w:pPr>
      <w:r>
        <w:t>Bermudan LSMC valuation</w:t>
      </w:r>
    </w:p>
    <w:p>
      <w:pPr>
        <w:pStyle w:val="ListBullet"/>
      </w:pPr>
      <w:r>
        <w:t>Portfolio and scenario-cube generation</w:t>
      </w:r>
    </w:p>
    <w:p>
      <w:pPr>
        <w:pStyle w:val="Heading2"/>
      </w:pPr>
      <w:r>
        <w:t>12.3 Testing strategy</w:t>
      </w:r>
    </w:p>
    <w:tbl>
      <w:tblPr>
        <w:tblStyle w:val="TableGrid"/>
        <w:tblW w:type="auto" w:w="0"/>
        <w:jc w:val="center"/>
        <w:tblLook w:firstColumn="1" w:firstRow="1" w:lastColumn="0" w:lastRow="0" w:noHBand="0" w:noVBand="1" w:val="04A0"/>
      </w:tblPr>
      <w:tblGrid>
        <w:gridCol w:w="4968"/>
        <w:gridCol w:w="4968"/>
      </w:tblGrid>
      <w:tr>
        <w:tc>
          <w:tcPr>
            <w:tcW w:type="dxa" w:w="1944"/>
            <w:shd w:fill="1F4E78"/>
            <w:vAlign w:val="center"/>
          </w:tcPr>
          <w:p>
            <w:r>
              <w:rPr>
                <w:b/>
                <w:color w:val="FFFFFF"/>
                <w:sz w:val="18"/>
              </w:rPr>
              <w:t>Test class</w:t>
            </w:r>
          </w:p>
        </w:tc>
        <w:tc>
          <w:tcPr>
            <w:tcW w:type="dxa" w:w="7560"/>
            <w:shd w:fill="1F4E78"/>
            <w:vAlign w:val="center"/>
          </w:tcPr>
          <w:p>
            <w:r>
              <w:rPr>
                <w:b/>
                <w:color w:val="FFFFFF"/>
                <w:sz w:val="18"/>
              </w:rPr>
              <w:t>Examples</w:t>
            </w:r>
          </w:p>
        </w:tc>
      </w:tr>
      <w:tr>
        <w:tc>
          <w:tcPr>
            <w:tcW w:type="dxa" w:w="1944"/>
            <w:vAlign w:val="top"/>
          </w:tcPr>
          <w:p>
            <w:r>
              <w:rPr>
                <w:sz w:val="18"/>
              </w:rPr>
              <w:t>Unit</w:t>
            </w:r>
          </w:p>
        </w:tc>
        <w:tc>
          <w:tcPr>
            <w:tcW w:type="dxa" w:w="7560"/>
            <w:vAlign w:val="top"/>
          </w:tcPr>
          <w:p>
            <w:r>
              <w:rPr>
                <w:sz w:val="18"/>
              </w:rPr>
              <w:t>Dates, day counts, schedules, interpolation, discounting, formulas and solvers</w:t>
            </w:r>
          </w:p>
        </w:tc>
      </w:tr>
      <w:tr>
        <w:tc>
          <w:tcPr>
            <w:tcW w:type="dxa" w:w="1944"/>
            <w:vAlign w:val="top"/>
          </w:tcPr>
          <w:p>
            <w:r>
              <w:rPr>
                <w:sz w:val="18"/>
              </w:rPr>
              <w:t>Invariant</w:t>
            </w:r>
          </w:p>
        </w:tc>
        <w:tc>
          <w:tcPr>
            <w:tcW w:type="dxa" w:w="7560"/>
            <w:vAlign w:val="top"/>
          </w:tcPr>
          <w:p>
            <w:r>
              <w:rPr>
                <w:sz w:val="18"/>
              </w:rPr>
              <w:t>Payer-receiver parity, cap-floor parity, zero-volatility limit and monotonicity</w:t>
            </w:r>
          </w:p>
        </w:tc>
      </w:tr>
      <w:tr>
        <w:tc>
          <w:tcPr>
            <w:tcW w:type="dxa" w:w="1944"/>
            <w:vAlign w:val="top"/>
          </w:tcPr>
          <w:p>
            <w:r>
              <w:rPr>
                <w:sz w:val="18"/>
              </w:rPr>
              <w:t>Regression</w:t>
            </w:r>
          </w:p>
        </w:tc>
        <w:tc>
          <w:tcPr>
            <w:tcW w:type="dxa" w:w="7560"/>
            <w:vAlign w:val="top"/>
          </w:tcPr>
          <w:p>
            <w:r>
              <w:rPr>
                <w:sz w:val="18"/>
              </w:rPr>
              <w:t>Stored curves, option prices, risk reports and calibration parameters</w:t>
            </w:r>
          </w:p>
        </w:tc>
      </w:tr>
      <w:tr>
        <w:tc>
          <w:tcPr>
            <w:tcW w:type="dxa" w:w="1944"/>
            <w:vAlign w:val="top"/>
          </w:tcPr>
          <w:p>
            <w:r>
              <w:rPr>
                <w:sz w:val="18"/>
              </w:rPr>
              <w:t>Convergence</w:t>
            </w:r>
          </w:p>
        </w:tc>
        <w:tc>
          <w:tcPr>
            <w:tcW w:type="dxa" w:w="7560"/>
            <w:vAlign w:val="top"/>
          </w:tcPr>
          <w:p>
            <w:r>
              <w:rPr>
                <w:sz w:val="18"/>
              </w:rPr>
              <w:t>Path counts, time steps, tree depth, PDE grids and solver tolerance</w:t>
            </w:r>
          </w:p>
        </w:tc>
      </w:tr>
      <w:tr>
        <w:tc>
          <w:tcPr>
            <w:tcW w:type="dxa" w:w="1944"/>
            <w:vAlign w:val="top"/>
          </w:tcPr>
          <w:p>
            <w:r>
              <w:rPr>
                <w:sz w:val="18"/>
              </w:rPr>
              <w:t>Cross-library</w:t>
            </w:r>
          </w:p>
        </w:tc>
        <w:tc>
          <w:tcPr>
            <w:tcW w:type="dxa" w:w="7560"/>
            <w:vAlign w:val="top"/>
          </w:tcPr>
          <w:p>
            <w:r>
              <w:rPr>
                <w:sz w:val="18"/>
              </w:rPr>
              <w:t>Independent comparison with QuantLib, OpenGamma examples and Python references</w:t>
            </w:r>
          </w:p>
        </w:tc>
      </w:tr>
      <w:tr>
        <w:tc>
          <w:tcPr>
            <w:tcW w:type="dxa" w:w="1944"/>
            <w:vAlign w:val="top"/>
          </w:tcPr>
          <w:p>
            <w:r>
              <w:rPr>
                <w:sz w:val="18"/>
              </w:rPr>
              <w:t>Performance</w:t>
            </w:r>
          </w:p>
        </w:tc>
        <w:tc>
          <w:tcPr>
            <w:tcW w:type="dxa" w:w="7560"/>
            <w:vAlign w:val="top"/>
          </w:tcPr>
          <w:p>
            <w:r>
              <w:rPr>
                <w:sz w:val="18"/>
              </w:rPr>
              <w:t>Latency, memory, throughput and thread scaling</w:t>
            </w:r>
          </w:p>
        </w:tc>
      </w:tr>
    </w:tbl>
    <w:p/>
    <w:p>
      <w:pPr>
        <w:pStyle w:val="Heading2"/>
      </w:pPr>
      <w:r>
        <w:t>12.4 Continuous integration</w:t>
      </w:r>
    </w:p>
    <w:p>
      <w:pPr>
        <w:ind w:left="360" w:hanging="360"/>
      </w:pPr>
      <w:r>
        <w:rPr>
          <w:b/>
        </w:rPr>
        <w:t xml:space="preserve">1. </w:t>
      </w:r>
      <w:r>
        <w:t>Debug and release builds</w:t>
      </w:r>
    </w:p>
    <w:p>
      <w:pPr>
        <w:ind w:left="360" w:hanging="360"/>
      </w:pPr>
      <w:r>
        <w:rPr>
          <w:b/>
        </w:rPr>
        <w:t xml:space="preserve">2. </w:t>
      </w:r>
      <w:r>
        <w:t>C++ unit and integration tests</w:t>
      </w:r>
    </w:p>
    <w:p>
      <w:pPr>
        <w:ind w:left="360" w:hanging="360"/>
      </w:pPr>
      <w:r>
        <w:rPr>
          <w:b/>
        </w:rPr>
        <w:t xml:space="preserve">3. </w:t>
      </w:r>
      <w:r>
        <w:t>Address and undefined-behaviour sanitizers</w:t>
      </w:r>
    </w:p>
    <w:p>
      <w:pPr>
        <w:ind w:left="360" w:hanging="360"/>
      </w:pPr>
      <w:r>
        <w:rPr>
          <w:b/>
        </w:rPr>
        <w:t xml:space="preserve">4. </w:t>
      </w:r>
      <w:r>
        <w:t>Static analysis and formatting checks</w:t>
      </w:r>
    </w:p>
    <w:p>
      <w:pPr>
        <w:ind w:left="360" w:hanging="360"/>
      </w:pPr>
      <w:r>
        <w:rPr>
          <w:b/>
        </w:rPr>
        <w:t xml:space="preserve">5. </w:t>
      </w:r>
      <w:r>
        <w:t>Python binding build and Python tests</w:t>
      </w:r>
    </w:p>
    <w:p>
      <w:pPr>
        <w:ind w:left="360" w:hanging="360"/>
      </w:pPr>
      <w:r>
        <w:rPr>
          <w:b/>
        </w:rPr>
        <w:t xml:space="preserve">6. </w:t>
      </w:r>
      <w:r>
        <w:t>Coverage and selected benchmark execution</w:t>
      </w:r>
    </w:p>
    <w:p>
      <w:pPr>
        <w:pStyle w:val="Heading1"/>
      </w:pPr>
      <w:r>
        <w:t>13. Repository structure and coding standards</w:t>
      </w:r>
    </w:p>
    <w:p>
      <w:pPr>
        <w:pStyle w:val="CodeBlock"/>
      </w:pPr>
      <w:r>
        <w:rPr>
          <w:rFonts w:ascii="Consolas" w:hAnsi="Consolas"/>
          <w:sz w:val="17"/>
        </w:rPr>
        <w:t>cpp-rates-derivatives-engine/</w:t>
        <w:br/>
        <w:t>├── CMakeLists.txt</w:t>
        <w:br/>
        <w:t>├── README.md</w:t>
        <w:br/>
        <w:t>├── config/</w:t>
        <w:br/>
        <w:t>├── data/</w:t>
        <w:br/>
        <w:t>├── include/rates/</w:t>
        <w:br/>
        <w:t>│   ├── core/</w:t>
        <w:br/>
        <w:t>│   ├── dates/</w:t>
        <w:br/>
        <w:t>│   ├── cashflows/</w:t>
        <w:br/>
        <w:t>│   ├── instruments/</w:t>
        <w:br/>
        <w:t>│   ├── market/</w:t>
        <w:br/>
        <w:t>│   ├── curves/</w:t>
        <w:br/>
        <w:t>│   ├── volatility/</w:t>
        <w:br/>
        <w:t>│   ├── models/</w:t>
        <w:br/>
        <w:t>│   ├── pricing/</w:t>
        <w:br/>
        <w:t>│   ├── calibration/</w:t>
        <w:br/>
        <w:t>│   ├── risk/</w:t>
        <w:br/>
        <w:t>│   ├── scenarios/</w:t>
        <w:br/>
        <w:t>│   ├── portfolio/</w:t>
        <w:br/>
        <w:t>│   ├── numerics/</w:t>
        <w:br/>
        <w:t>│   └── diagnostics/</w:t>
        <w:br/>
        <w:t>├── src/</w:t>
        <w:br/>
        <w:t>├── bindings/python/</w:t>
        <w:br/>
        <w:t>├── apps/cli/</w:t>
        <w:br/>
        <w:t>├── apps/desktop/</w:t>
        <w:br/>
        <w:t>├── apps/server/</w:t>
        <w:br/>
        <w:t>├── python/</w:t>
        <w:br/>
        <w:t>├── tests/</w:t>
        <w:br/>
        <w:t>├── benchmarks/</w:t>
        <w:br/>
        <w:t>├── examples/</w:t>
        <w:br/>
        <w:t>├── docs/</w:t>
        <w:br/>
        <w:t>└── scripts/</w:t>
      </w:r>
    </w:p>
    <w:p>
      <w:pPr>
        <w:pStyle w:val="Heading2"/>
      </w:pPr>
      <w:r>
        <w:t>13.1 Recommended technology stack</w:t>
      </w:r>
    </w:p>
    <w:tbl>
      <w:tblPr>
        <w:tblStyle w:val="TableGrid"/>
        <w:tblW w:type="auto" w:w="0"/>
        <w:jc w:val="center"/>
        <w:tblLook w:firstColumn="1" w:firstRow="1" w:lastColumn="0" w:lastRow="0" w:noHBand="0" w:noVBand="1" w:val="04A0"/>
      </w:tblPr>
      <w:tblGrid>
        <w:gridCol w:w="4968"/>
        <w:gridCol w:w="4968"/>
      </w:tblGrid>
      <w:tr>
        <w:tc>
          <w:tcPr>
            <w:tcW w:type="dxa" w:w="1944"/>
            <w:shd w:fill="1F4E78"/>
            <w:vAlign w:val="center"/>
          </w:tcPr>
          <w:p>
            <w:r>
              <w:rPr>
                <w:b/>
                <w:color w:val="FFFFFF"/>
                <w:sz w:val="18"/>
              </w:rPr>
              <w:t>Area</w:t>
            </w:r>
          </w:p>
        </w:tc>
        <w:tc>
          <w:tcPr>
            <w:tcW w:type="dxa" w:w="7560"/>
            <w:shd w:fill="1F4E78"/>
            <w:vAlign w:val="center"/>
          </w:tcPr>
          <w:p>
            <w:r>
              <w:rPr>
                <w:b/>
                <w:color w:val="FFFFFF"/>
                <w:sz w:val="18"/>
              </w:rPr>
              <w:t>Recommended tools</w:t>
            </w:r>
          </w:p>
        </w:tc>
      </w:tr>
      <w:tr>
        <w:tc>
          <w:tcPr>
            <w:tcW w:type="dxa" w:w="1944"/>
            <w:vAlign w:val="top"/>
          </w:tcPr>
          <w:p>
            <w:r>
              <w:rPr>
                <w:sz w:val="18"/>
              </w:rPr>
              <w:t>C++ core</w:t>
            </w:r>
          </w:p>
        </w:tc>
        <w:tc>
          <w:tcPr>
            <w:tcW w:type="dxa" w:w="7560"/>
            <w:vAlign w:val="top"/>
          </w:tcPr>
          <w:p>
            <w:r>
              <w:rPr>
                <w:sz w:val="18"/>
              </w:rPr>
              <w:t>C++20 or C++23, CMake, Eigen and standard-library concurrency</w:t>
            </w:r>
          </w:p>
        </w:tc>
      </w:tr>
      <w:tr>
        <w:tc>
          <w:tcPr>
            <w:tcW w:type="dxa" w:w="1944"/>
            <w:vAlign w:val="top"/>
          </w:tcPr>
          <w:p>
            <w:r>
              <w:rPr>
                <w:sz w:val="18"/>
              </w:rPr>
              <w:t>Testing</w:t>
            </w:r>
          </w:p>
        </w:tc>
        <w:tc>
          <w:tcPr>
            <w:tcW w:type="dxa" w:w="7560"/>
            <w:vAlign w:val="top"/>
          </w:tcPr>
          <w:p>
            <w:r>
              <w:rPr>
                <w:sz w:val="18"/>
              </w:rPr>
              <w:t>GoogleTest or Catch2, Google Benchmark, sanitizers and clang-tidy</w:t>
            </w:r>
          </w:p>
        </w:tc>
      </w:tr>
      <w:tr>
        <w:tc>
          <w:tcPr>
            <w:tcW w:type="dxa" w:w="1944"/>
            <w:vAlign w:val="top"/>
          </w:tcPr>
          <w:p>
            <w:r>
              <w:rPr>
                <w:sz w:val="18"/>
              </w:rPr>
              <w:t>Python</w:t>
            </w:r>
          </w:p>
        </w:tc>
        <w:tc>
          <w:tcPr>
            <w:tcW w:type="dxa" w:w="7560"/>
            <w:vAlign w:val="top"/>
          </w:tcPr>
          <w:p>
            <w:r>
              <w:rPr>
                <w:sz w:val="18"/>
              </w:rPr>
              <w:t>pybind11, NumPy, pandas or Polars, SciPy and Plotly</w:t>
            </w:r>
          </w:p>
        </w:tc>
      </w:tr>
      <w:tr>
        <w:tc>
          <w:tcPr>
            <w:tcW w:type="dxa" w:w="1944"/>
            <w:vAlign w:val="top"/>
          </w:tcPr>
          <w:p>
            <w:r>
              <w:rPr>
                <w:sz w:val="18"/>
              </w:rPr>
              <w:t>GUI</w:t>
            </w:r>
          </w:p>
        </w:tc>
        <w:tc>
          <w:tcPr>
            <w:tcW w:type="dxa" w:w="7560"/>
            <w:vAlign w:val="top"/>
          </w:tcPr>
          <w:p>
            <w:r>
              <w:rPr>
                <w:sz w:val="18"/>
              </w:rPr>
              <w:t>PySide, Streamlit or a local web interface depending on desired depth</w:t>
            </w:r>
          </w:p>
        </w:tc>
      </w:tr>
      <w:tr>
        <w:tc>
          <w:tcPr>
            <w:tcW w:type="dxa" w:w="1944"/>
            <w:vAlign w:val="top"/>
          </w:tcPr>
          <w:p>
            <w:r>
              <w:rPr>
                <w:sz w:val="18"/>
              </w:rPr>
              <w:t>Data</w:t>
            </w:r>
          </w:p>
        </w:tc>
        <w:tc>
          <w:tcPr>
            <w:tcW w:type="dxa" w:w="7560"/>
            <w:vAlign w:val="top"/>
          </w:tcPr>
          <w:p>
            <w:r>
              <w:rPr>
                <w:sz w:val="18"/>
              </w:rPr>
              <w:t>JSON, CSV, Parquet, SQLite initially and PostgreSQL later</w:t>
            </w:r>
          </w:p>
        </w:tc>
      </w:tr>
      <w:tr>
        <w:tc>
          <w:tcPr>
            <w:tcW w:type="dxa" w:w="1944"/>
            <w:vAlign w:val="top"/>
          </w:tcPr>
          <w:p>
            <w:r>
              <w:rPr>
                <w:sz w:val="18"/>
              </w:rPr>
              <w:t>Automation</w:t>
            </w:r>
          </w:p>
        </w:tc>
        <w:tc>
          <w:tcPr>
            <w:tcW w:type="dxa" w:w="7560"/>
            <w:vAlign w:val="top"/>
          </w:tcPr>
          <w:p>
            <w:r>
              <w:rPr>
                <w:sz w:val="18"/>
              </w:rPr>
              <w:t>GitHub Actions, pre-commit checks and reproducible example scripts</w:t>
            </w:r>
          </w:p>
        </w:tc>
      </w:tr>
    </w:tbl>
    <w:p/>
    <w:p>
      <w:pPr>
        <w:pStyle w:val="Heading2"/>
      </w:pPr>
      <w:r>
        <w:t>13.2 Coding rules</w:t>
      </w:r>
    </w:p>
    <w:p>
      <w:pPr>
        <w:pStyle w:val="ListBullet"/>
      </w:pPr>
      <w:r>
        <w:t>Clear ownership through value types and smart pointers</w:t>
      </w:r>
    </w:p>
    <w:p>
      <w:pPr>
        <w:pStyle w:val="ListBullet"/>
      </w:pPr>
      <w:r>
        <w:t>No GUI or database dependencies inside the domain model</w:t>
      </w:r>
    </w:p>
    <w:p>
      <w:pPr>
        <w:pStyle w:val="ListBullet"/>
      </w:pPr>
      <w:r>
        <w:t>No silent extrapolation or silent calibration fallback</w:t>
      </w:r>
    </w:p>
    <w:p>
      <w:pPr>
        <w:pStyle w:val="ListBullet"/>
      </w:pPr>
      <w:r>
        <w:t>Strong types for dates, currencies, rates, tenors and identifiers</w:t>
      </w:r>
    </w:p>
    <w:p>
      <w:pPr>
        <w:pStyle w:val="ListBullet"/>
      </w:pPr>
      <w:r>
        <w:t>Deterministic numerical settings for tests</w:t>
      </w:r>
    </w:p>
    <w:p>
      <w:pPr>
        <w:pStyle w:val="ListBullet"/>
      </w:pPr>
      <w:r>
        <w:t>Explicit units and quote conventions</w:t>
      </w:r>
    </w:p>
    <w:p>
      <w:pPr>
        <w:pStyle w:val="ListBullet"/>
      </w:pPr>
      <w:r>
        <w:t>Documented model assumptions and failure modes</w:t>
      </w:r>
    </w:p>
    <w:p>
      <w:pPr>
        <w:pStyle w:val="Heading1"/>
      </w:pPr>
      <w:r>
        <w:t>14. Implementation roadmap and flagship release criteria</w:t>
      </w:r>
    </w:p>
    <w:tbl>
      <w:tblPr>
        <w:tblStyle w:val="TableGrid"/>
        <w:tblW w:type="auto" w:w="0"/>
        <w:jc w:val="center"/>
        <w:tblLook w:firstColumn="1" w:firstRow="1" w:lastColumn="0" w:lastRow="0" w:noHBand="0" w:noVBand="1" w:val="04A0"/>
      </w:tblPr>
      <w:tblGrid>
        <w:gridCol w:w="4968"/>
        <w:gridCol w:w="4968"/>
      </w:tblGrid>
      <w:tr>
        <w:tc>
          <w:tcPr>
            <w:tcW w:type="dxa" w:w="2232"/>
            <w:shd w:fill="1F4E78"/>
            <w:vAlign w:val="center"/>
          </w:tcPr>
          <w:p>
            <w:r>
              <w:rPr>
                <w:b/>
                <w:color w:val="FFFFFF"/>
                <w:sz w:val="18"/>
              </w:rPr>
              <w:t>Phase</w:t>
            </w:r>
          </w:p>
        </w:tc>
        <w:tc>
          <w:tcPr>
            <w:tcW w:type="dxa" w:w="7272"/>
            <w:shd w:fill="1F4E78"/>
            <w:vAlign w:val="center"/>
          </w:tcPr>
          <w:p>
            <w:r>
              <w:rPr>
                <w:b/>
                <w:color w:val="FFFFFF"/>
                <w:sz w:val="18"/>
              </w:rPr>
              <w:t>Main deliverables</w:t>
            </w:r>
          </w:p>
        </w:tc>
      </w:tr>
      <w:tr>
        <w:tc>
          <w:tcPr>
            <w:tcW w:type="dxa" w:w="2232"/>
            <w:vAlign w:val="top"/>
          </w:tcPr>
          <w:p>
            <w:r>
              <w:rPr>
                <w:sz w:val="18"/>
              </w:rPr>
              <w:t>1. Core framework</w:t>
            </w:r>
          </w:p>
        </w:tc>
        <w:tc>
          <w:tcPr>
            <w:tcW w:type="dxa" w:w="7272"/>
            <w:vAlign w:val="top"/>
          </w:tcPr>
          <w:p>
            <w:r>
              <w:rPr>
                <w:sz w:val="18"/>
              </w:rPr>
              <w:t>Dates, calendars, schedules, cash flows, identifiers, configuration and tests</w:t>
            </w:r>
          </w:p>
        </w:tc>
      </w:tr>
      <w:tr>
        <w:tc>
          <w:tcPr>
            <w:tcW w:type="dxa" w:w="2232"/>
            <w:vAlign w:val="top"/>
          </w:tcPr>
          <w:p>
            <w:r>
              <w:rPr>
                <w:sz w:val="18"/>
              </w:rPr>
              <w:t>2. Curves and swaps</w:t>
            </w:r>
          </w:p>
        </w:tc>
        <w:tc>
          <w:tcPr>
            <w:tcW w:type="dxa" w:w="7272"/>
            <w:vAlign w:val="top"/>
          </w:tcPr>
          <w:p>
            <w:r>
              <w:rPr>
                <w:sz w:val="18"/>
              </w:rPr>
              <w:t>Deposits, OIS, swaps, multi-curve bootstrapping, swap pricing and PV01</w:t>
            </w:r>
          </w:p>
        </w:tc>
      </w:tr>
      <w:tr>
        <w:tc>
          <w:tcPr>
            <w:tcW w:type="dxa" w:w="2232"/>
            <w:vAlign w:val="top"/>
          </w:tcPr>
          <w:p>
            <w:r>
              <w:rPr>
                <w:sz w:val="18"/>
              </w:rPr>
              <w:t>3. Vanilla options</w:t>
            </w:r>
          </w:p>
        </w:tc>
        <w:tc>
          <w:tcPr>
            <w:tcW w:type="dxa" w:w="7272"/>
            <w:vAlign w:val="top"/>
          </w:tcPr>
          <w:p>
            <w:r>
              <w:rPr>
                <w:sz w:val="18"/>
              </w:rPr>
              <w:t>Caps, floors, European swaptions, Black, Bachelier and implied volatility</w:t>
            </w:r>
          </w:p>
        </w:tc>
      </w:tr>
      <w:tr>
        <w:tc>
          <w:tcPr>
            <w:tcW w:type="dxa" w:w="2232"/>
            <w:vAlign w:val="top"/>
          </w:tcPr>
          <w:p>
            <w:r>
              <w:rPr>
                <w:sz w:val="18"/>
              </w:rPr>
              <w:t>4. Smile calibration</w:t>
            </w:r>
          </w:p>
        </w:tc>
        <w:tc>
          <w:tcPr>
            <w:tcW w:type="dxa" w:w="7272"/>
            <w:vAlign w:val="top"/>
          </w:tcPr>
          <w:p>
            <w:r>
              <w:rPr>
                <w:sz w:val="18"/>
              </w:rPr>
              <w:t>SABR, optimiser, smile and cube calibration, residual and vega reports</w:t>
            </w:r>
          </w:p>
        </w:tc>
      </w:tr>
      <w:tr>
        <w:tc>
          <w:tcPr>
            <w:tcW w:type="dxa" w:w="2232"/>
            <w:vAlign w:val="top"/>
          </w:tcPr>
          <w:p>
            <w:r>
              <w:rPr>
                <w:sz w:val="18"/>
              </w:rPr>
              <w:t>5. Hull-White</w:t>
            </w:r>
          </w:p>
        </w:tc>
        <w:tc>
          <w:tcPr>
            <w:tcW w:type="dxa" w:w="7272"/>
            <w:vAlign w:val="top"/>
          </w:tcPr>
          <w:p>
            <w:r>
              <w:rPr>
                <w:sz w:val="18"/>
              </w:rPr>
              <w:t>Term-structure fit, European benchmarks, calibration and simulation</w:t>
            </w:r>
          </w:p>
        </w:tc>
      </w:tr>
      <w:tr>
        <w:tc>
          <w:tcPr>
            <w:tcW w:type="dxa" w:w="2232"/>
            <w:vAlign w:val="top"/>
          </w:tcPr>
          <w:p>
            <w:r>
              <w:rPr>
                <w:sz w:val="18"/>
              </w:rPr>
              <w:t>6. Bermudan products</w:t>
            </w:r>
          </w:p>
        </w:tc>
        <w:tc>
          <w:tcPr>
            <w:tcW w:type="dxa" w:w="7272"/>
            <w:vAlign w:val="top"/>
          </w:tcPr>
          <w:p>
            <w:r>
              <w:rPr>
                <w:sz w:val="18"/>
              </w:rPr>
              <w:t>Trinomial tree, LSMC, exercise boundary and convergence comparison</w:t>
            </w:r>
          </w:p>
        </w:tc>
      </w:tr>
      <w:tr>
        <w:tc>
          <w:tcPr>
            <w:tcW w:type="dxa" w:w="2232"/>
            <w:vAlign w:val="top"/>
          </w:tcPr>
          <w:p>
            <w:r>
              <w:rPr>
                <w:sz w:val="18"/>
              </w:rPr>
              <w:t>7. Portfolio risk</w:t>
            </w:r>
          </w:p>
        </w:tc>
        <w:tc>
          <w:tcPr>
            <w:tcW w:type="dxa" w:w="7272"/>
            <w:vAlign w:val="top"/>
          </w:tcPr>
          <w:p>
            <w:r>
              <w:rPr>
                <w:sz w:val="18"/>
              </w:rPr>
              <w:t>Trades, books, parallel valuation, bucketed risk and scenarios</w:t>
            </w:r>
          </w:p>
        </w:tc>
      </w:tr>
      <w:tr>
        <w:tc>
          <w:tcPr>
            <w:tcW w:type="dxa" w:w="2232"/>
            <w:vAlign w:val="top"/>
          </w:tcPr>
          <w:p>
            <w:r>
              <w:rPr>
                <w:sz w:val="18"/>
              </w:rPr>
              <w:t>8. Structured product</w:t>
            </w:r>
          </w:p>
        </w:tc>
        <w:tc>
          <w:tcPr>
            <w:tcW w:type="dxa" w:w="7272"/>
            <w:vAlign w:val="top"/>
          </w:tcPr>
          <w:p>
            <w:r>
              <w:rPr>
                <w:sz w:val="18"/>
              </w:rPr>
              <w:t>Callable swap, callable range accrual or CMS structure</w:t>
            </w:r>
          </w:p>
        </w:tc>
      </w:tr>
      <w:tr>
        <w:tc>
          <w:tcPr>
            <w:tcW w:type="dxa" w:w="2232"/>
            <w:vAlign w:val="top"/>
          </w:tcPr>
          <w:p>
            <w:r>
              <w:rPr>
                <w:sz w:val="18"/>
              </w:rPr>
              <w:t>9. Interfaces</w:t>
            </w:r>
          </w:p>
        </w:tc>
        <w:tc>
          <w:tcPr>
            <w:tcW w:type="dxa" w:w="7272"/>
            <w:vAlign w:val="top"/>
          </w:tcPr>
          <w:p>
            <w:r>
              <w:rPr>
                <w:sz w:val="18"/>
              </w:rPr>
              <w:t>Python bindings, GUI, CLI and reporting</w:t>
            </w:r>
          </w:p>
        </w:tc>
      </w:tr>
      <w:tr>
        <w:tc>
          <w:tcPr>
            <w:tcW w:type="dxa" w:w="2232"/>
            <w:vAlign w:val="top"/>
          </w:tcPr>
          <w:p>
            <w:r>
              <w:rPr>
                <w:sz w:val="18"/>
              </w:rPr>
              <w:t>10. Validation</w:t>
            </w:r>
          </w:p>
        </w:tc>
        <w:tc>
          <w:tcPr>
            <w:tcW w:type="dxa" w:w="7272"/>
            <w:vAlign w:val="top"/>
          </w:tcPr>
          <w:p>
            <w:r>
              <w:rPr>
                <w:sz w:val="18"/>
              </w:rPr>
              <w:t>Independent references, benchmarks, documentation and tagged release</w:t>
            </w:r>
          </w:p>
        </w:tc>
      </w:tr>
    </w:tbl>
    <w:p/>
    <w:p>
      <w:pPr>
        <w:pStyle w:val="Heading2"/>
      </w:pPr>
      <w:r>
        <w:t>14.1 Minimum viable flagship release</w:t>
      </w:r>
    </w:p>
    <w:p>
      <w:pPr>
        <w:pStyle w:val="ListBullet"/>
      </w:pPr>
      <w:r>
        <w:t>GBP or USD OIS and forward-curve bootstrapping</w:t>
      </w:r>
    </w:p>
    <w:p>
      <w:pPr>
        <w:pStyle w:val="ListBullet"/>
      </w:pPr>
      <w:r>
        <w:t>Vanilla swap pricing and bucketed PV01</w:t>
      </w:r>
    </w:p>
    <w:p>
      <w:pPr>
        <w:pStyle w:val="ListBullet"/>
      </w:pPr>
      <w:r>
        <w:t>European swaption pricing under Black and Bachelier</w:t>
      </w:r>
    </w:p>
    <w:p>
      <w:pPr>
        <w:pStyle w:val="ListBullet"/>
      </w:pPr>
      <w:r>
        <w:t>Implied-volatility calculation and SABR smile calibration</w:t>
      </w:r>
    </w:p>
    <w:p>
      <w:pPr>
        <w:pStyle w:val="ListBullet"/>
      </w:pPr>
      <w:r>
        <w:t>Hull-White calibration</w:t>
      </w:r>
    </w:p>
    <w:p>
      <w:pPr>
        <w:pStyle w:val="ListBullet"/>
      </w:pPr>
      <w:r>
        <w:t>Bermudan swaption pricing using a trinomial tree</w:t>
      </w:r>
    </w:p>
    <w:p>
      <w:pPr>
        <w:pStyle w:val="ListBullet"/>
      </w:pPr>
      <w:r>
        <w:t>Optional LSMC comparison</w:t>
      </w:r>
    </w:p>
    <w:p>
      <w:pPr>
        <w:pStyle w:val="ListBullet"/>
      </w:pPr>
      <w:r>
        <w:t>Portfolio-level PV01 and vega</w:t>
      </w:r>
    </w:p>
    <w:p>
      <w:pPr>
        <w:pStyle w:val="ListBullet"/>
      </w:pPr>
      <w:r>
        <w:t>Python bindings and a calibration and risk GUI</w:t>
      </w:r>
    </w:p>
    <w:p>
      <w:pPr>
        <w:pStyle w:val="ListBullet"/>
      </w:pPr>
      <w:r>
        <w:t>Cross-validation against an independent implementation</w:t>
      </w:r>
    </w:p>
    <w:p>
      <w:pPr>
        <w:pStyle w:val="ListBullet"/>
      </w:pPr>
      <w:r>
        <w:t>Published benchmark, convergence and architecture documentation</w:t>
      </w:r>
    </w:p>
    <w:p>
      <w:pPr>
        <w:pStyle w:val="Heading2"/>
      </w:pPr>
      <w:r>
        <w:t>14.2 Future extensions</w:t>
      </w:r>
    </w:p>
    <w:p>
      <w:pPr>
        <w:pStyle w:val="ListBullet"/>
      </w:pPr>
      <w:r>
        <w:t>Two-factor Hull-White or Libor Market Model</w:t>
      </w:r>
    </w:p>
    <w:p>
      <w:pPr>
        <w:pStyle w:val="ListBullet"/>
      </w:pPr>
      <w:r>
        <w:t>Automatic differentiation and adjoint risk</w:t>
      </w:r>
    </w:p>
    <w:p>
      <w:pPr>
        <w:pStyle w:val="ListBullet"/>
      </w:pPr>
      <w:r>
        <w:t>CMS and callable range-accrual products</w:t>
      </w:r>
    </w:p>
    <w:p>
      <w:pPr>
        <w:pStyle w:val="ListBullet"/>
      </w:pPr>
      <w:r>
        <w:t>Convertible bonds or autocallables</w:t>
      </w:r>
    </w:p>
    <w:p>
      <w:pPr>
        <w:pStyle w:val="ListBullet"/>
      </w:pPr>
      <w:r>
        <w:t>Commodity calendar-spread and swing options</w:t>
      </w:r>
    </w:p>
    <w:p>
      <w:pPr>
        <w:pStyle w:val="ListBullet"/>
      </w:pPr>
      <w:r>
        <w:t>Distributed scenario calculation</w:t>
      </w:r>
    </w:p>
    <w:p>
      <w:pPr>
        <w:pStyle w:val="ListBullet"/>
      </w:pPr>
      <w:r>
        <w:t>Live market-data and paper-trading integration where appropriate</w:t>
      </w:r>
    </w:p>
    <w:p>
      <w:pPr>
        <w:pStyle w:val="Heading1"/>
      </w:pPr>
      <w:r>
        <w:t>Closing mental model</w:t>
      </w:r>
    </w:p>
    <w:p>
      <w:r>
        <w:t>The complete calculation pipeline is:</w:t>
      </w:r>
    </w:p>
    <w:p>
      <w:pPr>
        <w:pStyle w:val="CodeBlock"/>
      </w:pPr>
      <w:r>
        <w:rPr>
          <w:rFonts w:ascii="Consolas" w:hAnsi="Consolas"/>
          <w:sz w:val="17"/>
        </w:rPr>
        <w:t>Raw quotes and reference data</w:t>
        <w:br/>
        <w:t xml:space="preserve">        ↓</w:t>
        <w:br/>
        <w:t>Validated immutable market snapshot</w:t>
        <w:br/>
        <w:t xml:space="preserve">        ↓</w:t>
        <w:br/>
        <w:t>Discount curves, forward curves and volatility structures</w:t>
        <w:br/>
        <w:t xml:space="preserve">        ↓</w:t>
        <w:br/>
        <w:t>Calibrated models</w:t>
        <w:br/>
        <w:t xml:space="preserve">        ↓</w:t>
        <w:br/>
        <w:t>Instrument and portfolio definitions</w:t>
        <w:br/>
        <w:t xml:space="preserve">        ↓</w:t>
        <w:br/>
        <w:t>Analytic, lattice, Monte Carlo or PDE pricing engines</w:t>
        <w:br/>
        <w:t xml:space="preserve">        ↓</w:t>
        <w:br/>
        <w:t>PV, cash flows, Greeks and diagnostics</w:t>
        <w:br/>
        <w:t xml:space="preserve">        ↓</w:t>
        <w:br/>
        <w:t>Scenario revaluation and portfolio aggregation</w:t>
        <w:br/>
        <w:t xml:space="preserve">        ↓</w:t>
        <w:br/>
        <w:t>GUI, Python API, reports and persisted results</w:t>
      </w:r>
    </w:p>
    <w:p>
      <w:r>
        <w:rPr>
          <w:b/>
        </w:rPr>
        <w:t xml:space="preserve">Governing rule: </w:t>
      </w:r>
      <w:r>
        <w:t>Instruments define economics. Market objects define the environment. Models define dynamics. Pricing engines combine them. Risk engines perturb the environment and repeat the valuation.</w:t>
      </w:r>
    </w:p>
    <w:sectPr w:rsidR="00FC693F" w:rsidRPr="0006063C" w:rsidSect="00034616">
      <w:pgSz w:w="12240" w:h="15840"/>
      <w:pgMar w:top="1080"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4748B"/>
        <w:sz w:val="17"/>
      </w:rPr>
      <w:t>C++ Rates Derivatives and Structured Products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A7F62"/>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7A5A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B55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Rates Derivatives and Structured Products Platform Architecture</dc:title>
  <dc:subject>Structure, architecture and functionality specification</dc:subject>
  <dc:creator>OpenAI</dc:creator>
  <cp:keywords>C++, rates derivatives, swaptions, SABR, Hull-White, structured products,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