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29 (interaktivni grafovi), pa 30–33;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40–84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2026-10-26T04:30:22.071Z</dcterms:created>
  <dcterms:modified xsi:type="dcterms:W3CDTF">2026-10-26T04:30:22.071Z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