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69E21FC4" w14:textId="0F1AF19B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6505E79A" w14:textId="0ACADC8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4AA61062" w14:textId="2181EB6C" w:rsid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addresses is widely considered the best approach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  <w:r w:rsidR="00A0115A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0C" w14:textId="5AD347E7" w:rsidR="00752A99" w:rsidRP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buf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effects. The statement-deletion mutation highlighted in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5AA" w14:textId="20BEB30F" w:rsidR="00752A99" w:rsidRDefault="00752A99" w:rsidP="00A0115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1: The Mutation Testing Service. For a given changelist, line coverage is computed and the code is parsed into an AST.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4EE81A4B" w14:textId="77777777" w:rsidR="00A0115A" w:rsidRPr="00752A99" w:rsidRDefault="00A0115A" w:rsidP="00A0115A">
      <w:pPr>
        <w:autoSpaceDE w:val="0"/>
        <w:autoSpaceDN w:val="0"/>
        <w:adjustRightInd w:val="0"/>
        <w:spacing w:after="0" w:line="240" w:lineRule="auto"/>
        <w:rPr>
          <w:rFonts w:cs="URWPalladioL-Roma"/>
          <w:sz w:val="19"/>
          <w:szCs w:val="19"/>
          <w:lang w:val="en-US"/>
        </w:rPr>
      </w:pPr>
    </w:p>
    <w:p w14:paraId="6DFA0B8D" w14:textId="72F6B560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72A882E2" w14:textId="2A89EDA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ArrayList(64)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new ArrayList(16)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(specifically testing the current implementation rather than</w:t>
      </w:r>
    </w:p>
    <w:p w14:paraId="5D890C6D" w14:textId="1BDB4451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  <w:r w:rsidR="00A0115A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which mutants are created and matches a developer’s</w:t>
      </w:r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suppression that reduce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feasible and actionable—even for industryscale</w:t>
      </w:r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remains prohibitively expensive to compute the mutantdetection</w:t>
      </w:r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changelist submitted for code review. (2) Once codecoverage</w:t>
      </w:r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are covered, and added or modified in the changelist.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2.1 Prerequisites: Changelists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changelist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a developer sends a changelist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changelist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total number of added or modified lines in the changelist.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available for a changelist,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uses Bazel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Using the explicit dependency and source listing, the codecoverage</w:t>
      </w:r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Kotlin. For each language, the service implements five mutation</w:t>
      </w:r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were originally introduced for Mothra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decrement are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does not use the ABS operator. Note that our</w:t>
      </w:r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prepared for each of them, based on the original changelist,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changelist.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tests or otherwise updates the changelist,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important, they can indicate that to the changelist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be flagged as unproductive.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std::vector::reserve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nodes. Simple nodes have no body; for example, a functioncall</w:t>
      </w:r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is two-fold: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 boolean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 partial boolean</w:t>
      </w:r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iff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its children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generation of uncompilable vs. compilable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former is also important, especially in Go, where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import is a compiler error). For compilable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given changelist.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java.util.Collection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collection.size()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Another example for this category is related to memoization.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The following heuristic is used to detect memoization: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a, ok :=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waiting for services to become ready (like gRPC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 xml:space="preserve">the </w:t>
      </w:r>
      <w:r>
        <w:rPr>
          <w:rFonts w:ascii="URWPalladioL-Ital" w:hAnsi="URWPalladioL-Ital" w:cs="URWPalladioL-Ital"/>
          <w:sz w:val="19"/>
          <w:szCs w:val="19"/>
        </w:rPr>
        <w:t xml:space="preserve">expert </w:t>
      </w:r>
      <w:r>
        <w:rPr>
          <w:rFonts w:ascii="URWPalladioL-Roma" w:hAnsi="URWPalladioL-Roma" w:cs="URWPalladioL-Roma"/>
          <w:sz w:val="19"/>
          <w:szCs w:val="19"/>
        </w:rPr>
        <w:t>function.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to match function names; indeed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any function call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when a developer updates their changelist,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nullptr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(nullptr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and refinements progressivley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java.util.HashMap::size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0115A" w:rsidRDefault="00E25E28" w:rsidP="00E25E28">
      <w:pPr>
        <w:rPr>
          <w:rFonts w:cs="URWPalladioL-Roma"/>
          <w:sz w:val="19"/>
          <w:szCs w:val="19"/>
          <w:lang w:val="en-US"/>
        </w:rPr>
      </w:pPr>
      <w:r w:rsidRPr="00A0115A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high chance of survival. An iterative approach, where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for each line in a changelist,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6A4939C2" w14:textId="4131C43C" w:rsidR="005307CA" w:rsidRPr="005307CA" w:rsidRDefault="005307CA" w:rsidP="005307CA">
      <w:pPr>
        <w:rPr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corresponding to non-arid nodes in the changelist, until a</w:t>
      </w:r>
    </w:p>
    <w:sectPr w:rsidR="005307CA" w:rsidRPr="005307C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5EB4" w14:textId="77777777" w:rsidR="003D3B70" w:rsidRDefault="003D3B70" w:rsidP="00752A99">
      <w:pPr>
        <w:spacing w:after="0" w:line="240" w:lineRule="auto"/>
      </w:pPr>
      <w:r>
        <w:separator/>
      </w:r>
    </w:p>
  </w:endnote>
  <w:endnote w:type="continuationSeparator" w:id="0">
    <w:p w14:paraId="3BEA86C5" w14:textId="77777777" w:rsidR="003D3B70" w:rsidRDefault="003D3B70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4308" w14:textId="77777777" w:rsidR="003D3B70" w:rsidRDefault="003D3B70" w:rsidP="00752A99">
      <w:pPr>
        <w:spacing w:after="0" w:line="240" w:lineRule="auto"/>
      </w:pPr>
      <w:r>
        <w:separator/>
      </w:r>
    </w:p>
  </w:footnote>
  <w:footnote w:type="continuationSeparator" w:id="0">
    <w:p w14:paraId="36423DD9" w14:textId="77777777" w:rsidR="003D3B70" w:rsidRDefault="003D3B70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3D3B70"/>
    <w:rsid w:val="0048330E"/>
    <w:rsid w:val="005307CA"/>
    <w:rsid w:val="00656293"/>
    <w:rsid w:val="00752A99"/>
    <w:rsid w:val="009611C4"/>
    <w:rsid w:val="00A0115A"/>
    <w:rsid w:val="00B47482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Андрей Строгонов</cp:lastModifiedBy>
  <cp:revision>6</cp:revision>
  <dcterms:created xsi:type="dcterms:W3CDTF">2024-07-25T16:47:00Z</dcterms:created>
  <dcterms:modified xsi:type="dcterms:W3CDTF">2024-07-25T20:06:00Z</dcterms:modified>
</cp:coreProperties>
</file>