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MAN-BD-003 Gestión de bloqueos en la base de datos del core</w:t>
      </w:r>
    </w:p>
    <w:p>
      <w:pPr>
        <w:pStyle w:val="Heading1"/>
      </w:pPr>
      <w:r>
        <w:t>Objetivo</w:t>
      </w:r>
    </w:p>
    <w:p>
      <w:r>
        <w:t>Guiar al operador de TI Producción en la detección y gestión de bloqueos en la base de datos del core bancario durante el horario de atención y los procesos nocturnos.</w:t>
      </w:r>
    </w:p>
    <w:p>
      <w:pPr>
        <w:pStyle w:val="Heading1"/>
      </w:pPr>
      <w:r>
        <w:t>Detección</w:t>
      </w:r>
    </w:p>
    <w:p>
      <w:r>
        <w:t>Un bloqueo se identifica cuando el panel de monitoreo muestra sesiones en espera por más de 120 segundos sobre las tablas de cuentas o movimientos. La alerta BD-LOCK-01 se dispara automáticamente y abre un evento en la consola de operaciones.</w:t>
      </w:r>
    </w:p>
    <w:p>
      <w:pPr>
        <w:pStyle w:val="Heading1"/>
      </w:pPr>
      <w:r>
        <w:t>Acciones permitidas al operador</w:t>
      </w:r>
    </w:p>
    <w:p>
      <w:r>
        <w:t>El operador puede identificar la sesión bloqueante, el usuario de aplicación y el programa que la originó, y documentarlos en el evento. El operador NO debe terminar sesiones de base de datos.</w:t>
      </w:r>
    </w:p>
    <w:p>
      <w:pPr>
        <w:pStyle w:val="Heading1"/>
      </w:pPr>
      <w:r>
        <w:t>Escalamiento al DBA</w:t>
      </w:r>
    </w:p>
    <w:p>
      <w:r>
        <w:t>Si el bloqueo supera los 5 minutos o afecta a transacciones en línea, escalar al DBA de turno por la línea de guardia. Solo el DBA, con aprobación del responsable de la aplicación, puede terminar la sesión bloqueante.</w:t>
      </w:r>
    </w:p>
    <w:p>
      <w:pPr>
        <w:pStyle w:val="Heading1"/>
      </w:pPr>
      <w:r>
        <w:t>Matriz de contacto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Tiempo de respuesta</w:t>
            </w:r>
          </w:p>
        </w:tc>
      </w:tr>
      <w:tr>
        <w:tc>
          <w:tcPr>
            <w:tcW w:type="dxa" w:w="2880"/>
          </w:tcPr>
          <w:p>
            <w:r>
              <w:t>DBA de turno</w:t>
            </w:r>
          </w:p>
        </w:tc>
        <w:tc>
          <w:tcPr>
            <w:tcW w:type="dxa" w:w="2880"/>
          </w:tcPr>
          <w:p>
            <w:r>
              <w:t>Línea de guardia</w:t>
            </w:r>
          </w:p>
        </w:tc>
        <w:tc>
          <w:tcPr>
            <w:tcW w:type="dxa" w:w="2880"/>
          </w:tcPr>
          <w:p>
            <w:r>
              <w:t>15 minutos</w:t>
            </w:r>
          </w:p>
        </w:tc>
      </w:tr>
      <w:tr>
        <w:tc>
          <w:tcPr>
            <w:tcW w:type="dxa" w:w="2880"/>
          </w:tcPr>
          <w:p>
            <w:r>
              <w:t>Responsable de aplicación</w:t>
            </w:r>
          </w:p>
        </w:tc>
        <w:tc>
          <w:tcPr>
            <w:tcW w:type="dxa" w:w="2880"/>
          </w:tcPr>
          <w:p>
            <w:r>
              <w:t>Correo y llamada</w:t>
            </w:r>
          </w:p>
        </w:tc>
        <w:tc>
          <w:tcPr>
            <w:tcW w:type="dxa" w:w="2880"/>
          </w:tcPr>
          <w:p>
            <w:r>
              <w:t>30 minutos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