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b/>
          <w:color w:val="1F3A6E"/>
          <w:sz w:val="40"/>
        </w:rPr>
        <w:t>IT SUPPORT INCIDENT REPORT</w:t>
      </w:r>
    </w:p>
    <w:tbl>
      <w:tblPr>
        <w:tblStyle w:val="TableGrid"/>
        <w:tblW w:type="auto" w:w="0"/>
        <w:jc w:val="center"/>
        <w:tblLook w:firstColumn="1" w:firstRow="1" w:lastColumn="0" w:lastRow="0" w:noHBand="0" w:noVBand="1" w:val="04A0"/>
      </w:tblPr>
      <w:tblGrid>
        <w:gridCol w:w="4824"/>
        <w:gridCol w:w="4824"/>
      </w:tblGrid>
      <w:tr>
        <w:tc>
          <w:tcPr>
            <w:tcW w:type="dxa" w:w="2736"/>
            <w:shd w:val="clear" w:fill="EAF0F8"/>
          </w:tcPr>
          <w:p>
            <w:r>
              <w:rPr>
                <w:b/>
              </w:rPr>
              <w:t>Prepared for</w:t>
            </w:r>
          </w:p>
        </w:tc>
        <w:tc>
          <w:tcPr>
            <w:tcW w:type="dxa" w:w="6624"/>
          </w:tcPr>
          <w:p>
            <w:r>
              <w:t>Investec – Corporate Banking Technology Department (CBT)</w:t>
            </w:r>
          </w:p>
        </w:tc>
      </w:tr>
      <w:tr>
        <w:tc>
          <w:tcPr>
            <w:tcW w:type="dxa" w:w="2736"/>
            <w:shd w:val="clear" w:fill="EAF0F8"/>
          </w:tcPr>
          <w:p>
            <w:r>
              <w:rPr>
                <w:b/>
              </w:rPr>
              <w:t>Prepared by</w:t>
            </w:r>
          </w:p>
        </w:tc>
        <w:tc>
          <w:tcPr>
            <w:tcW w:type="dxa" w:w="6624"/>
          </w:tcPr>
          <w:p>
            <w:r>
              <w:t>Justin Hunt – IT Support Services</w:t>
            </w:r>
          </w:p>
        </w:tc>
      </w:tr>
      <w:tr>
        <w:tc>
          <w:tcPr>
            <w:tcW w:type="dxa" w:w="2736"/>
            <w:shd w:val="clear" w:fill="EAF0F8"/>
          </w:tcPr>
          <w:p>
            <w:r>
              <w:rPr>
                <w:b/>
              </w:rPr>
              <w:t>Department</w:t>
            </w:r>
          </w:p>
        </w:tc>
        <w:tc>
          <w:tcPr>
            <w:tcW w:type="dxa" w:w="6624"/>
          </w:tcPr>
          <w:p>
            <w:r>
              <w:t>IT Support Services</w:t>
            </w:r>
          </w:p>
        </w:tc>
      </w:tr>
      <w:tr>
        <w:tc>
          <w:tcPr>
            <w:tcW w:type="dxa" w:w="2736"/>
            <w:shd w:val="clear" w:fill="EAF0F8"/>
          </w:tcPr>
          <w:p>
            <w:r>
              <w:rPr>
                <w:b/>
              </w:rPr>
              <w:t>Date</w:t>
            </w:r>
          </w:p>
        </w:tc>
        <w:tc>
          <w:tcPr>
            <w:tcW w:type="dxa" w:w="6624"/>
          </w:tcPr>
          <w:p>
            <w:r>
              <w:t>12 July 2026</w:t>
            </w:r>
          </w:p>
        </w:tc>
      </w:tr>
      <w:tr>
        <w:tc>
          <w:tcPr>
            <w:tcW w:type="dxa" w:w="2736"/>
            <w:shd w:val="clear" w:fill="EAF0F8"/>
          </w:tcPr>
          <w:p>
            <w:r>
              <w:rPr>
                <w:b/>
              </w:rPr>
              <w:t>Document Version</w:t>
            </w:r>
          </w:p>
        </w:tc>
        <w:tc>
          <w:tcPr>
            <w:tcW w:type="dxa" w:w="6624"/>
          </w:tcPr>
          <w:p>
            <w:r>
              <w:t>1.0</w:t>
            </w:r>
          </w:p>
        </w:tc>
      </w:tr>
      <w:tr>
        <w:tc>
          <w:tcPr>
            <w:tcW w:type="dxa" w:w="2736"/>
            <w:shd w:val="clear" w:fill="EAF0F8"/>
          </w:tcPr>
          <w:p>
            <w:r>
              <w:rPr>
                <w:b/>
              </w:rPr>
              <w:t>Classification</w:t>
            </w:r>
          </w:p>
        </w:tc>
        <w:tc>
          <w:tcPr>
            <w:tcW w:type="dxa" w:w="6624"/>
          </w:tcPr>
          <w:p>
            <w:r>
              <w:t>Confidential</w:t>
            </w:r>
          </w:p>
        </w:tc>
      </w:tr>
    </w:tbl>
    <w:p/>
    <w:p>
      <w:pPr>
        <w:pStyle w:val="Heading1"/>
      </w:pPr>
      <w:r>
        <w:rPr>
          <w:color w:val="1F3A6E"/>
        </w:rPr>
        <w:t>1. Introduction</w:t>
      </w:r>
    </w:p>
    <w:p>
      <w:r>
        <w:t>This report documents the investigation, analysis and resolution of an IT incident reported by a user within the Corporate Banking Technology Department (CBT) at Investec’s Sandton Campus. The purpose of this report is to identify the root cause of the issue, document the corrective actions taken, and recommend preventive measures to reduce the likelihood of recurrence.</w:t>
      </w:r>
    </w:p>
    <w:p>
      <w:pPr>
        <w:pStyle w:val="Heading1"/>
      </w:pPr>
      <w:r>
        <w:rPr>
          <w:color w:val="1F3A6E"/>
        </w:rPr>
        <w:t>2. Incident Details</w:t>
      </w:r>
    </w:p>
    <w:tbl>
      <w:tblPr>
        <w:tblStyle w:val="TableGrid"/>
        <w:tblW w:type="auto" w:w="0"/>
        <w:tblLook w:firstColumn="1" w:firstRow="1" w:lastColumn="0" w:lastRow="0" w:noHBand="0" w:noVBand="1" w:val="04A0"/>
      </w:tblPr>
      <w:tblGrid>
        <w:gridCol w:w="4824"/>
        <w:gridCol w:w="4824"/>
      </w:tblGrid>
      <w:tr>
        <w:tc>
          <w:tcPr>
            <w:tcW w:type="dxa" w:w="4824"/>
            <w:shd w:val="clear" w:fill="1F3A6E"/>
          </w:tcPr>
          <w:p>
            <w:r>
              <w:rPr>
                <w:b/>
                <w:color w:val="FFFFFF"/>
              </w:rPr>
              <w:t>Item</w:t>
            </w:r>
          </w:p>
        </w:tc>
        <w:tc>
          <w:tcPr>
            <w:tcW w:type="dxa" w:w="4824"/>
            <w:shd w:val="clear" w:fill="1F3A6E"/>
          </w:tcPr>
          <w:p>
            <w:r>
              <w:rPr>
                <w:b/>
                <w:color w:val="FFFFFF"/>
              </w:rPr>
              <w:t>Description</w:t>
            </w:r>
          </w:p>
        </w:tc>
      </w:tr>
      <w:tr>
        <w:tc>
          <w:tcPr>
            <w:tcW w:type="dxa" w:w="4824"/>
          </w:tcPr>
          <w:p>
            <w:r>
              <w:rPr>
                <w:b/>
              </w:rPr>
              <w:t>Incident Number</w:t>
            </w:r>
          </w:p>
        </w:tc>
        <w:tc>
          <w:tcPr>
            <w:tcW w:type="dxa" w:w="4824"/>
          </w:tcPr>
          <w:p>
            <w:r>
              <w:t>INC-2026-00458</w:t>
            </w:r>
          </w:p>
        </w:tc>
      </w:tr>
      <w:tr>
        <w:tc>
          <w:tcPr>
            <w:tcW w:type="dxa" w:w="4824"/>
            <w:shd w:val="clear" w:fill="F2F6FB"/>
          </w:tcPr>
          <w:p>
            <w:r>
              <w:rPr>
                <w:b/>
              </w:rPr>
              <w:t>Date Reported</w:t>
            </w:r>
          </w:p>
        </w:tc>
        <w:tc>
          <w:tcPr>
            <w:tcW w:type="dxa" w:w="4824"/>
            <w:shd w:val="clear" w:fill="F2F6FB"/>
          </w:tcPr>
          <w:p>
            <w:r>
              <w:t>12 July 2026</w:t>
            </w:r>
          </w:p>
        </w:tc>
      </w:tr>
      <w:tr>
        <w:tc>
          <w:tcPr>
            <w:tcW w:type="dxa" w:w="4824"/>
          </w:tcPr>
          <w:p>
            <w:r>
              <w:rPr>
                <w:b/>
              </w:rPr>
              <w:t>Time Reported</w:t>
            </w:r>
          </w:p>
        </w:tc>
        <w:tc>
          <w:tcPr>
            <w:tcW w:type="dxa" w:w="4824"/>
          </w:tcPr>
          <w:p>
            <w:r>
              <w:t>09:18</w:t>
            </w:r>
          </w:p>
        </w:tc>
      </w:tr>
      <w:tr>
        <w:tc>
          <w:tcPr>
            <w:tcW w:type="dxa" w:w="4824"/>
            <w:shd w:val="clear" w:fill="F2F6FB"/>
          </w:tcPr>
          <w:p>
            <w:r>
              <w:rPr>
                <w:b/>
              </w:rPr>
              <w:t>Reported By</w:t>
            </w:r>
          </w:p>
        </w:tc>
        <w:tc>
          <w:tcPr>
            <w:tcW w:type="dxa" w:w="4824"/>
            <w:shd w:val="clear" w:fill="F2F6FB"/>
          </w:tcPr>
          <w:p>
            <w:r>
              <w:t>Sarah Williams</w:t>
            </w:r>
          </w:p>
        </w:tc>
      </w:tr>
      <w:tr>
        <w:tc>
          <w:tcPr>
            <w:tcW w:type="dxa" w:w="4824"/>
          </w:tcPr>
          <w:p>
            <w:r>
              <w:rPr>
                <w:b/>
              </w:rPr>
              <w:t>Department</w:t>
            </w:r>
          </w:p>
        </w:tc>
        <w:tc>
          <w:tcPr>
            <w:tcW w:type="dxa" w:w="4824"/>
          </w:tcPr>
          <w:p>
            <w:r>
              <w:t>Corporate Banking Technology (CBT)</w:t>
            </w:r>
          </w:p>
        </w:tc>
      </w:tr>
      <w:tr>
        <w:tc>
          <w:tcPr>
            <w:tcW w:type="dxa" w:w="4824"/>
            <w:shd w:val="clear" w:fill="F2F6FB"/>
          </w:tcPr>
          <w:p>
            <w:r>
              <w:rPr>
                <w:b/>
              </w:rPr>
              <w:t>Location</w:t>
            </w:r>
          </w:p>
        </w:tc>
        <w:tc>
          <w:tcPr>
            <w:tcW w:type="dxa" w:w="4824"/>
            <w:shd w:val="clear" w:fill="F2F6FB"/>
          </w:tcPr>
          <w:p>
            <w:r>
              <w:t>Investec Sandton</w:t>
            </w:r>
          </w:p>
        </w:tc>
      </w:tr>
      <w:tr>
        <w:tc>
          <w:tcPr>
            <w:tcW w:type="dxa" w:w="4824"/>
          </w:tcPr>
          <w:p>
            <w:r>
              <w:rPr>
                <w:b/>
              </w:rPr>
              <w:t>Device</w:t>
            </w:r>
          </w:p>
        </w:tc>
        <w:tc>
          <w:tcPr>
            <w:tcW w:type="dxa" w:w="4824"/>
          </w:tcPr>
          <w:p>
            <w:r>
              <w:t>Dell Latitude 7440</w:t>
            </w:r>
          </w:p>
        </w:tc>
      </w:tr>
      <w:tr>
        <w:tc>
          <w:tcPr>
            <w:tcW w:type="dxa" w:w="4824"/>
            <w:shd w:val="clear" w:fill="F2F6FB"/>
          </w:tcPr>
          <w:p>
            <w:r>
              <w:rPr>
                <w:b/>
              </w:rPr>
              <w:t>Operating System</w:t>
            </w:r>
          </w:p>
        </w:tc>
        <w:tc>
          <w:tcPr>
            <w:tcW w:type="dxa" w:w="4824"/>
            <w:shd w:val="clear" w:fill="F2F6FB"/>
          </w:tcPr>
          <w:p>
            <w:r>
              <w:t>Windows 11 Enterprise</w:t>
            </w:r>
          </w:p>
        </w:tc>
      </w:tr>
      <w:tr>
        <w:tc>
          <w:tcPr>
            <w:tcW w:type="dxa" w:w="4824"/>
          </w:tcPr>
          <w:p>
            <w:r>
              <w:rPr>
                <w:b/>
              </w:rPr>
              <w:t>Priority</w:t>
            </w:r>
          </w:p>
        </w:tc>
        <w:tc>
          <w:tcPr>
            <w:tcW w:type="dxa" w:w="4824"/>
          </w:tcPr>
          <w:p>
            <w:r>
              <w:t>High</w:t>
            </w:r>
          </w:p>
        </w:tc>
      </w:tr>
    </w:tbl>
    <w:p>
      <w:pPr>
        <w:pStyle w:val="Heading1"/>
      </w:pPr>
      <w:r>
        <w:rPr>
          <w:color w:val="1F3A6E"/>
        </w:rPr>
        <w:t>3. Problem Description</w:t>
      </w:r>
    </w:p>
    <w:p>
      <w:r>
        <w:t>The user reported that they were unable to authenticate to the corporate network following a scheduled Windows update. As a result, access to Microsoft Outlook, Microsoft Teams, and internal banking applications was unavailable.</w:t>
      </w:r>
    </w:p>
    <w:p>
      <w:pPr>
        <w:pStyle w:val="Heading1"/>
      </w:pPr>
      <w:r>
        <w:rPr>
          <w:color w:val="1F3A6E"/>
        </w:rPr>
        <w:t>4. Investigation</w:t>
      </w:r>
    </w:p>
    <w:p>
      <w:pPr>
        <w:pStyle w:val="Heading2"/>
      </w:pPr>
      <w:r>
        <w:rPr>
          <w:color w:val="1F3A6E"/>
        </w:rPr>
        <w:t>4.1 Initial Assessment</w:t>
      </w:r>
    </w:p>
    <w:p>
      <w:r>
        <w:t>The workstation successfully powered on. No hardware faults were identified.</w:t>
      </w:r>
    </w:p>
    <w:p>
      <w:pPr>
        <w:pStyle w:val="Heading2"/>
      </w:pPr>
      <w:r>
        <w:rPr>
          <w:color w:val="1F3A6E"/>
        </w:rPr>
        <w:t>4.2 Network Connectivity</w:t>
      </w:r>
    </w:p>
    <w:p>
      <w:pPr>
        <w:pStyle w:val="ListBullet"/>
      </w:pPr>
      <w:r>
        <w:t>Ethernet connection operational</w:t>
      </w:r>
    </w:p>
    <w:p>
      <w:pPr>
        <w:pStyle w:val="ListBullet"/>
      </w:pPr>
      <w:r>
        <w:t>IP address successfully assigned</w:t>
      </w:r>
    </w:p>
    <w:p>
      <w:pPr>
        <w:pStyle w:val="ListBullet"/>
      </w:pPr>
      <w:r>
        <w:t>DNS resolution successful</w:t>
      </w:r>
    </w:p>
    <w:p>
      <w:pPr>
        <w:pStyle w:val="ListBullet"/>
      </w:pPr>
      <w:r>
        <w:t>Internet connectivity confirmed</w:t>
      </w:r>
    </w:p>
    <w:p>
      <w:pPr>
        <w:pStyle w:val="Heading2"/>
      </w:pPr>
      <w:r>
        <w:rPr>
          <w:color w:val="1F3A6E"/>
        </w:rPr>
        <w:t>4.3 Authentication</w:t>
      </w:r>
    </w:p>
    <w:p>
      <w:r>
        <w:t>Windows Event Viewer indicated repeated Kerberos authentication failures. Microsoft Entra ID synchronization completed successfully; however, the workstation’s secure channel with Active Directory was corrupted.</w:t>
      </w:r>
    </w:p>
    <w:p>
      <w:pPr>
        <w:pStyle w:val="Heading1"/>
      </w:pPr>
      <w:r>
        <w:rPr>
          <w:color w:val="1F3A6E"/>
        </w:rPr>
        <w:t>5. Findings</w:t>
      </w:r>
    </w:p>
    <w:p>
      <w:r>
        <w:t>The investigation determined that the workstation’s trust relationship with the Active Directory domain had failed following the Windows update. This prevented successful user authentication.</w:t>
      </w:r>
    </w:p>
    <w:p>
      <w:pPr>
        <w:pStyle w:val="Heading1"/>
      </w:pPr>
      <w:r>
        <w:rPr>
          <w:color w:val="1F3A6E"/>
        </w:rPr>
        <w:t>6. Root Cause Analysis</w:t>
      </w:r>
    </w:p>
    <w:p>
      <w:r>
        <w:t>The primary cause of the incident was a corrupted computer account secure channel between the workstation and Active Directory. No hardware or network faults were detected.</w:t>
      </w:r>
    </w:p>
    <w:p>
      <w:pPr>
        <w:pStyle w:val="Heading1"/>
      </w:pPr>
      <w:r>
        <w:rPr>
          <w:color w:val="1F3A6E"/>
        </w:rPr>
        <w:t>7. Resolution</w:t>
      </w:r>
    </w:p>
    <w:p>
      <w:r>
        <w:t>The following actions were completed:</w:t>
      </w:r>
    </w:p>
    <w:p>
      <w:pPr>
        <w:pStyle w:val="ListNumber"/>
      </w:pPr>
      <w:r>
        <w:t>Verified network connectivity.</w:t>
      </w:r>
    </w:p>
    <w:p>
      <w:pPr>
        <w:pStyle w:val="ListNumber"/>
      </w:pPr>
      <w:r>
        <w:t>Reset the workstation’s secure channel with Active Directory.</w:t>
      </w:r>
    </w:p>
    <w:p>
      <w:pPr>
        <w:pStyle w:val="ListNumber"/>
      </w:pPr>
      <w:r>
        <w:t>Rejoined the workstation to the domain.</w:t>
      </w:r>
    </w:p>
    <w:p>
      <w:pPr>
        <w:pStyle w:val="ListNumber"/>
      </w:pPr>
      <w:r>
        <w:t>Cleared cached credentials.</w:t>
      </w:r>
    </w:p>
    <w:p>
      <w:pPr>
        <w:pStyle w:val="ListNumber"/>
      </w:pPr>
      <w:r>
        <w:t>Restarted the device.</w:t>
      </w:r>
    </w:p>
    <w:p>
      <w:pPr>
        <w:pStyle w:val="ListNumber"/>
      </w:pPr>
      <w:r>
        <w:t>Verified successful authentication.</w:t>
      </w:r>
    </w:p>
    <w:p>
      <w:pPr>
        <w:pStyle w:val="ListNumber"/>
      </w:pPr>
      <w:r>
        <w:t>Confirmed access to Microsoft Outlook, Teams, and internal banking applications.</w:t>
      </w:r>
    </w:p>
    <w:p>
      <w:pPr>
        <w:pStyle w:val="Heading1"/>
      </w:pPr>
      <w:r>
        <w:rPr>
          <w:color w:val="1F3A6E"/>
        </w:rPr>
        <w:t>8. Recommendations</w:t>
      </w:r>
    </w:p>
    <w:p>
      <w:pPr>
        <w:pStyle w:val="ListBullet"/>
      </w:pPr>
      <w:r>
        <w:t>Implement automated monitoring for domain trust failures.</w:t>
      </w:r>
    </w:p>
    <w:p>
      <w:pPr>
        <w:pStyle w:val="ListBullet"/>
      </w:pPr>
      <w:r>
        <w:t>Schedule routine health checks for Active Directory synchronization.</w:t>
      </w:r>
    </w:p>
    <w:p>
      <w:pPr>
        <w:pStyle w:val="ListBullet"/>
      </w:pPr>
      <w:r>
        <w:t>Ensure Windows updates are validated in a testing environment before enterprise deployment.</w:t>
      </w:r>
    </w:p>
    <w:p>
      <w:pPr>
        <w:pStyle w:val="ListBullet"/>
      </w:pPr>
      <w:r>
        <w:t>Maintain current system backups before major operating system updates.</w:t>
      </w:r>
    </w:p>
    <w:p>
      <w:pPr>
        <w:pStyle w:val="Heading1"/>
      </w:pPr>
      <w:r>
        <w:rPr>
          <w:color w:val="1F3A6E"/>
        </w:rPr>
        <w:t>9. Conclusion</w:t>
      </w:r>
    </w:p>
    <w:p>
      <w:r>
        <w:t>The incident was resolved successfully without data loss. Normal user access was restored, and all affected applications were verified as operational. The corrective actions implemented addressed the immediate issue, and the recommendations provided are intended to improve system resilience and reduce the likelihood of similar incidents.</w:t>
      </w:r>
    </w:p>
    <w:p>
      <w:pPr>
        <w:pStyle w:val="Heading1"/>
      </w:pPr>
      <w:r>
        <w:rPr>
          <w:color w:val="1F3A6E"/>
        </w:rPr>
        <w:t>Tips for Writing IT Reports</w:t>
      </w:r>
    </w:p>
    <w:p>
      <w:pPr>
        <w:pStyle w:val="ListBullet"/>
      </w:pPr>
      <w:r>
        <w:t>✓  Use clear headings and numbering.</w:t>
      </w:r>
    </w:p>
    <w:p>
      <w:pPr>
        <w:pStyle w:val="ListBullet"/>
      </w:pPr>
      <w:r>
        <w:t>✓  Write in a professional and objective tone.</w:t>
      </w:r>
    </w:p>
    <w:p>
      <w:pPr>
        <w:pStyle w:val="ListBullet"/>
      </w:pPr>
      <w:r>
        <w:t>✓  Use bullet points and tables where appropriate.</w:t>
      </w:r>
    </w:p>
    <w:p>
      <w:pPr>
        <w:pStyle w:val="ListBullet"/>
      </w:pPr>
      <w:r>
        <w:t>✓  Keep the report concise and factual.</w:t>
      </w:r>
    </w:p>
    <w:p>
      <w:pPr>
        <w:pStyle w:val="ListBullet"/>
      </w:pPr>
      <w:r>
        <w:t>✓  Include relevant evidence and findings.</w:t>
      </w:r>
    </w:p>
    <w:p>
      <w:pPr>
        <w:pStyle w:val="ListBullet"/>
      </w:pPr>
      <w:r>
        <w:t>✓  Proofread before submitting.</w:t>
      </w:r>
    </w:p>
    <w:p>
      <w:pPr>
        <w:pStyle w:val="Heading1"/>
      </w:pPr>
      <w:r>
        <w:rPr>
          <w:color w:val="1F3A6E"/>
        </w:rPr>
        <w:t>Confidentiality Notice</w:t>
      </w:r>
    </w:p>
    <w:p>
      <w:r>
        <w:rPr>
          <w:i/>
        </w:rPr>
        <w:t>This document contains confidential information belonging to Investec Bank Limited. It is intended only for the use of the recipient and may not be shared or distributed without authorization.</w:t>
      </w:r>
    </w:p>
    <w:p>
      <w:pPr>
        <w:jc w:val="center"/>
      </w:pPr>
      <w:r>
        <w:rPr>
          <w:b/>
          <w:color w:val="1F3A6E"/>
        </w:rPr>
        <w:t>—  END OF REPORT  —</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