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before="280" w:after="120"/>
      </w:pPr>
      <w:r>
        <w:rPr>
          <w:rFonts w:ascii="Times New Roman" w:hAnsi="Times New Roman" w:cs="Times New Roman" w:eastAsia="Times New Roman"/>
          <w:b/>
          <w:i w:val="0"/>
          <w:color w:val="1F3B63"/>
          <w:sz w:val="28"/>
        </w:rPr>
        <w:t>Diseño de GarmentNet, protocolo de entrenamiento y plan de ablación</w:t>
      </w:r>
    </w:p>
    <w:p>
      <w:pPr>
        <w:spacing w:after="120" w:line="33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Tarea 1.4 — Diseño de la red convolucional. Sprint 1 — Fundamentos y datos.</w:t>
      </w:r>
    </w:p>
    <w:p>
      <w:pPr>
        <w:spacing w:after="120" w:line="33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Responsable: Latorre Campos, Andre Ismael.</w:t>
      </w: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1. Alcance de esta tarea</w:t>
      </w:r>
    </w:p>
    <w:p>
      <w:pPr>
        <w:spacing w:after="120" w:line="33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Esta tarea no entrena ni evalúa nada: produce las decisiones que gobiernan las corridas posteriores. Al cerrarla quedan fijadas la forma de la entrada, la arquitectura del tronco, las cabezas de predicción, el protocolo de entrenamiento y las variantes de ablación. Cualquier cambio posterior debe quedar registrado en la bitácora de experimentos del Sprint 2.</w:t>
      </w: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2. Entrada y preprocesamiento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Recorte de la prenda a 144 × 144 × 3 canales, almacenado como uint8 para reducir el consumo de memoria del dataset en disco.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El recorte se obtiene de la bounding box y la máscara de segmentación que ya trae Fashionpedia, de modo que el fondo se descarta.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La normalización a rango [0, 1] se aplica dentro del modelo, no en el dataset, para mantener el archivo de mapa de memoria en uint8.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El augmentation se limita a operaciones que no destruyen la semántica de la prenda: volteo horizontal, recortes con relleno y variaciones ligeras de brillo y contraste.</w:t>
      </w: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3. Arquitectura del tronco</w:t>
      </w:r>
    </w:p>
    <w:p>
      <w:pPr>
        <w:spacing w:after="120" w:line="33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El tronco es una red residual de tamaño deliberadamente pequeño (~1,8 millones de parámetros) para que quepa en una GPU portátil de 6 GB. Consta de un bloque convolucional inicial seguido de una pila de bloques residuales, con reducción progresiva de la resolución espacial y aumento del número de canales. Cada bloque residual suma su entrada a la salida transformada (conexión identidad), lo que permite profundidad sin degradar el entrenamiento.</w:t>
      </w: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4. Cabezas de predicción</w:t>
      </w:r>
    </w:p>
    <w:p>
      <w:pPr>
        <w:spacing w:after="120" w:line="33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Sobre el tronco compartido se conectan seis cabezas: un modelo multitarea, de modo que cada imagen aporta señal a varios objetivos a la vez.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154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Cabeza</w:t>
            </w:r>
          </w:p>
        </w:tc>
        <w:tc>
          <w:tcPr>
            <w:tcW w:type="dxa" w:w="1587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Salida</w:t>
            </w:r>
          </w:p>
        </w:tc>
        <w:tc>
          <w:tcPr>
            <w:tcW w:type="dxa" w:w="1587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Tipo</w:t>
            </w:r>
          </w:p>
        </w:tc>
        <w:tc>
          <w:tcPr>
            <w:tcW w:type="dxa" w:w="3742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Señal de entrenamiento</w:t>
            </w:r>
          </w:p>
        </w:tc>
      </w:tr>
      <w:tr>
        <w:tc>
          <w:tcPr>
            <w:tcW w:type="dxa" w:w="2154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Categoría</w:t>
            </w:r>
          </w:p>
        </w:tc>
        <w:tc>
          <w:tcPr>
            <w:tcW w:type="dxa" w:w="1587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46 clases</w:t>
            </w:r>
          </w:p>
        </w:tc>
        <w:tc>
          <w:tcPr>
            <w:tcW w:type="dxa" w:w="1587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Softmax</w:t>
            </w:r>
          </w:p>
        </w:tc>
        <w:tc>
          <w:tcPr>
            <w:tcW w:type="dxa" w:w="3742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Categoría principal anotada</w:t>
            </w:r>
          </w:p>
        </w:tc>
      </w:tr>
      <w:tr>
        <w:tc>
          <w:tcPr>
            <w:tcW w:type="dxa" w:w="2154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Silueta y ajuste</w:t>
            </w:r>
          </w:p>
        </w:tc>
        <w:tc>
          <w:tcPr>
            <w:tcW w:type="dxa" w:w="1587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10 clases</w:t>
            </w:r>
          </w:p>
        </w:tc>
        <w:tc>
          <w:tcPr>
            <w:tcW w:type="dxa" w:w="1587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Softmax</w:t>
            </w:r>
          </w:p>
        </w:tc>
        <w:tc>
          <w:tcPr>
            <w:tcW w:type="dxa" w:w="3742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Atributos de silueta y ajuste</w:t>
            </w:r>
          </w:p>
        </w:tc>
      </w:tr>
      <w:tr>
        <w:tc>
          <w:tcPr>
            <w:tcW w:type="dxa" w:w="2154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Estampado</w:t>
            </w:r>
          </w:p>
        </w:tc>
        <w:tc>
          <w:tcPr>
            <w:tcW w:type="dxa" w:w="1587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9 clases</w:t>
            </w:r>
          </w:p>
        </w:tc>
        <w:tc>
          <w:tcPr>
            <w:tcW w:type="dxa" w:w="1587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Softmax</w:t>
            </w:r>
          </w:p>
        </w:tc>
        <w:tc>
          <w:tcPr>
            <w:tcW w:type="dxa" w:w="3742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Atributos de estampado</w:t>
            </w:r>
          </w:p>
        </w:tc>
      </w:tr>
      <w:tr>
        <w:tc>
          <w:tcPr>
            <w:tcW w:type="dxa" w:w="2154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Longitud</w:t>
            </w:r>
          </w:p>
        </w:tc>
        <w:tc>
          <w:tcPr>
            <w:tcW w:type="dxa" w:w="1587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7 clases</w:t>
            </w:r>
          </w:p>
        </w:tc>
        <w:tc>
          <w:tcPr>
            <w:tcW w:type="dxa" w:w="1587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Softmax</w:t>
            </w:r>
          </w:p>
        </w:tc>
        <w:tc>
          <w:tcPr>
            <w:tcW w:type="dxa" w:w="3742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Atributos de longitud</w:t>
            </w:r>
          </w:p>
        </w:tc>
      </w:tr>
      <w:tr>
        <w:tc>
          <w:tcPr>
            <w:tcW w:type="dxa" w:w="2154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Detalle</w:t>
            </w:r>
          </w:p>
        </w:tc>
        <w:tc>
          <w:tcPr>
            <w:tcW w:type="dxa" w:w="1587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8 clases</w:t>
            </w:r>
          </w:p>
        </w:tc>
        <w:tc>
          <w:tcPr>
            <w:tcW w:type="dxa" w:w="1587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Softmax</w:t>
            </w:r>
          </w:p>
        </w:tc>
        <w:tc>
          <w:tcPr>
            <w:tcW w:type="dxa" w:w="3742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Atributos de detalle</w:t>
            </w:r>
          </w:p>
        </w:tc>
      </w:tr>
      <w:tr>
        <w:tc>
          <w:tcPr>
            <w:tcW w:type="dxa" w:w="2154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Embedding</w:t>
            </w:r>
          </w:p>
        </w:tc>
        <w:tc>
          <w:tcPr>
            <w:tcW w:type="dxa" w:w="1587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128 dims</w:t>
            </w:r>
          </w:p>
        </w:tc>
        <w:tc>
          <w:tcPr>
            <w:tcW w:type="dxa" w:w="1587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Regresión</w:t>
            </w:r>
          </w:p>
        </w:tc>
        <w:tc>
          <w:tcPr>
            <w:tcW w:type="dxa" w:w="3742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No supervisada; se consume aguas abajo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5. Protocolo de entrenamiento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30 épocas con el optimizador AdamW.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Precisión mixta bfloat16 para reducir el uso de memoria de la GPU.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Tasa de aprendizaje programada con esquema coseno.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Semillas aleatorias fijas, de modo que cada corrida sea reproducible.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Registro de cada corrida (semilla, hiperparámetros y métricas) en una bitácora compartida, que será a su vez un entregable auditable.</w:t>
      </w: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6. Plan de ablación</w:t>
      </w:r>
    </w:p>
    <w:p>
      <w:pPr>
        <w:spacing w:after="120" w:line="33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Una ablación consiste en quitar un componente a la vez y medir cuánto aportaba. Se decide de antemano qué variantes se corren para no improvisar después:</w:t>
      </w:r>
    </w:p>
    <w:p>
      <w:pPr>
        <w:pStyle w:val="ListNumber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Ablación de profundidad: corrida A shallow (~0,4 M de parámetros, tarea 3.5) frente a la corrida principal de 1,8 M (tarea 3.6).</w:t>
      </w:r>
    </w:p>
    <w:p>
      <w:pPr>
        <w:pStyle w:val="ListNumber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Ablación de gusto: sistema con el vector de gusto activado frente a desactivado (tarea 3.12).</w:t>
      </w:r>
    </w:p>
    <w:p>
      <w:pPr>
        <w:pStyle w:val="ListNumber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Control de color: extracción en espacio Lab frente a usar RGB crudo.</w:t>
      </w: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7. Restricciones y riesgos de cómputo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835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Riesgo</w:t>
            </w:r>
          </w:p>
        </w:tc>
        <w:tc>
          <w:tcPr>
            <w:tcW w:type="dxa" w:w="5669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0"/>
              </w:rPr>
              <w:t>Mitigación prevista</w:t>
            </w:r>
          </w:p>
        </w:tc>
      </w:tr>
      <w:tr>
        <w:tc>
          <w:tcPr>
            <w:tcW w:type="dxa" w:w="2835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El entrenamiento no cabe en 6 GB de VRAM</w:t>
            </w:r>
          </w:p>
        </w:tc>
        <w:tc>
          <w:tcPr>
            <w:tcW w:type="dxa" w:w="5669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Red de 1,8 M de parámetros, lote reducido y gradientes acumulados</w:t>
            </w:r>
          </w:p>
        </w:tc>
      </w:tr>
      <w:tr>
        <w:tc>
          <w:tcPr>
            <w:tcW w:type="dxa" w:w="2835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Falta de tiempo para la ablación completa</w:t>
            </w:r>
          </w:p>
        </w:tc>
        <w:tc>
          <w:tcPr>
            <w:tcW w:type="dxa" w:w="5669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0"/>
              </w:rPr>
              <w:t>La corrida C (deep) se marca como opcional; la A (shallow) es la de control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8. Criterios de aceptación de la tarea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Arquitectura documentada con número de parámetros y forma de cada salida.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Protocolo de entrenamiento reproducible (semillas y esquema de aprendizaje).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Plan de ablación con las variantes y su tarea asociada en el cronograma.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Módulo de dataset coherente con la forma de entrada declarada (enlaza con 1.5).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cs="Times New Roman" w:eastAsia="Times New Roman"/>
        <w:b w:val="0"/>
        <w:i w:val="0"/>
        <w:color w:val="000000"/>
        <w:sz w:val="18"/>
      </w:rPr>
      <w:t xml:space="preserve">Página </w:t>
    </w:r>
    <w:r>
      <w:rPr>
        <w:rFonts w:ascii="Times New Roman" w:hAnsi="Times New Roman" w:cs="Times New Roman" w:eastAsia="Times New Roman"/>
        <w:b w:val="0"/>
        <w:i w:val="0"/>
        <w:color w:val="000000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Diseño de GarmentNet</dc:title>
  <dc:subject/>
  <dc:creator>Equipo StyleMate - Sprint 1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