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80" w:after="120"/>
      </w:pPr>
      <w:r>
        <w:rPr>
          <w:rFonts w:ascii="Times New Roman" w:hAnsi="Times New Roman" w:cs="Times New Roman" w:eastAsia="Times New Roman"/>
          <w:b/>
          <w:i w:val="0"/>
          <w:color w:val="1F3B63"/>
          <w:sz w:val="28"/>
        </w:rPr>
        <w:t>4.1 Modelo CNN entrenado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Objetivo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Entrenar GarmentNet para clasificar prendas por categoria y predecir cuatro grupos de atributos, generando un embedding de 128 dimensiones que alimenta los MLP de compatibilidad y personalizacion.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Arquitectura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CNN residual con tallo convolucional y cuatro etapas (24, 48, 96 y 208 canales).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Parametros entrenables: 1,805,064.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Entrada: recorte RGB de 144x144, normalizado con media/desviacion 0.5.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Cabezas: categoria (46 clases), silueta (10), patron (9), largo (7), detalle (8) y embedding (128).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Perdida: entropia cruzada ponderada para categoria + 0.25 x cada cabeza de atributos (ignorando atributos ausentes).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Protocolo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Train: 22,825 instancias; val: 2,899; test: 2,841.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15 epocas maximas, AdamW (lr=0.001), cosine scheduling, AMP fp16, batch 64, early stopping (paciencia 5).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Aumento solo en train: volteo, rotacion/traslacion/escala y color jitter.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Resultados en test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Accuracy: 0.624.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Macro F1: 0.321.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Weighted F1: 0.615.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Top-3: 0.806.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Mejor epoca: 15.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Cabezas de atributos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Cabeza</w:t>
            </w:r>
          </w:p>
        </w:tc>
        <w:tc>
          <w:tcPr>
            <w:tcW w:type="dxa" w:w="300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Accuracy</w:t>
            </w:r>
          </w:p>
        </w:tc>
        <w:tc>
          <w:tcPr>
            <w:tcW w:type="dxa" w:w="300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Macro F1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Silueta y ajuste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0.485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0.146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Patron textil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0.828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0.224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Largo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0.598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0.487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Acabado / detalle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0.699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0.412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Evidencia visual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46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1_curv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4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Curvas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51291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1_matriz_confu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129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Matriz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296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1_prediccio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29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Predicciones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Archivos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models/garmentnet.pt: mejor checkpoint.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reports/metricas/4_1_cnn_metricas.json: metricas de test.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reports/metricas/cnn_historial.csv: historial por epoca.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reports/metricas/cnn_por_clase.csv: precision/recall/F1 por categoria.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Limitaciones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 muestra de 4.000 imagenes reduce el soporte de clases minoritarias; varias categorias tienen muy pocos ejemplos en test.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Las cabezas de atributos solo aprenden de instancias con atributos anotados; la cobertura es parcial (63,4 % en la muestra).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embedding se entrena de forma auxiliar, sin una perdida metrica especifica; su calidad se evalua indirectamente en 4.2.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Tiempo de ejecucion: 4.8 min.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t xml:space="preserve">Página </w:t>
    </w:r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4.1_Modelo_CNN_entrenado</dc:title>
  <dc:subject/>
  <dc:creator>Equipo StyleMate - Sprint 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