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4.2 Modelo MLP de compatibilidad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Aprender un score de compatibilidad entre dos prendas usando el embedding de GarmentNet, la categoria y el vector de estilo de 40 dimensiones.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Diseno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Entrada: embedding CNN de A y B (128 cada uno), diferencia absoluta (128), estilos de A y B (40 cada uno) y embeddings de categoria (16 cada uno).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496 -&gt; 256 -&gt; 128 -&gt; 64 -&gt; 1, BatchNorm, ReLU, dropout 0.2.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Perdida BCE con pos_weight=2 para compensar la proporcion 1:2.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Train/val/test heredados de 3.3; los pares sinteticos de apoyo solo estan en train y se evaluan aparte.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 en test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AUC: 0.866.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AP: 0.726.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Accuracy: 0.768.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F1: 0.705 (precision 0.612, recall 0.832).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Mejor epoca: 12.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Por origen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AUC no se calcula cuando un origen contiene una sola clase. Por eso la tabla reporta el score medio y la accuracy al umbral 0,5.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Origen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Score medio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Accuracy@0,5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coocurrencia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2,508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0.705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0.832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negativo_aleatorio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3,457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0.110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0.887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negativo_dificil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1,559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0.520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0.402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7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ROC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7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p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Confusion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3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Scores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models/compat_head.pt: checkpoint del MLP.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data/processed/embeddings.npy: embeddings CNN por instancia.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data/processed/pares_scored.csv: pares con score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reports/metricas/4_2_compat_metricas.json.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score se aprende de coocurrencia, no de juicios humanos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negativos aleatorios pueden ser combinaciones validas; el AUC mide separacion respecto al muestreo, no verdad absoluta.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embedding CNN no tuvo una perdida metricamente supervisada; el MLP compensa con categoria y estilo.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0.7 min.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4.2_Modelo_MLP_de_compatibilidad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