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5.1 Reporte de métricas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Este documento reúne las metricas de las etapas 3.1 a 4.3. No son directamente comparables entre si: cada una mide una tarea distinta.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Tabla resumen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Bloque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Metrica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Valor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Nota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Imagenes del subconjunto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4,000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Instancias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28,565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Instancias principales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14,670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Partes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13,895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Instancias con atributos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18,114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63.4%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Positivos (incluye sinteticos)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24,861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Negativos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49,462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Pares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Sinteticos de apoyo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130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Accuracy top-1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0.624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Accuracy top-3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0.806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Macro F1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0.321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Weighted F1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0.615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Silueta (accuracy)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0.485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Patron (accuracy)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0.828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Largo (accuracy)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0.598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Detalle (accuracy)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0.699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AUC test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0.866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AP test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0.726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Accuracy test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0.768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F1 test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0.705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AUC preferencias test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sintetico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NDCG@10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0.964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30 perfiles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 + 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NDCG@10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0.961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30 perfiles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Violacion top-10 sin 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10.0%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Violacion top-10 con 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0.0%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Lectura por etapa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Datos y pares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subconjunto conserva 4,000 imagenes y 28,565 instancias. La cobertura de atributos es 63.4%. Se generaron 24,861 positivos y 49,462 negativos, con 130 pares sinteticos de apoyo.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CNN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CNN obtiene 0.624 de accuracy top-1 y 0.806 top-3 en test. El macro F1 es 0.321, afectado por clases con muy pocos ejemplos. La cabeza de patron es la mas fuerte (0.828) y la de silueta la mas debil (0.485).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Compatibilidad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MLP de compatibilidad alcanza AUC 0.866, AP 0.726 y F1 0.705. Los negativos aleatorios tienen score medio bajo y los pares positivos score medio alto; los negativos dificiles quedan cerca del umbral, como se esperaba.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Personalizacion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MLP de taste obtiene AUC 1.000 en preferencias sinteticas. El NDCG@10 es 0.964 y baja levemente a 0.961 al aplicar reglas. La afinidad oraculo obtiene 1.000, por lo que el modelo aprende el orden pero no supera la funcion que genero las etiquetas.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Reglas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reglas reducen la violacion en el top-10 de 10.0% a 0.0%, con una perdida pequena de NDCG. Es el intercambio esperado entre personalizacion y coherencia.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1_resum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Resumen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46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_curv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CNN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97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2_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9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ROC compatibilidad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07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3_ndc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NDCG taste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dataset es un subconjunto de 4.000 imagenes, no el dataset completo.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preferencias de taste son sinteticas y no sustituyen usuarios reales.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macro F1 de la CNN esta penalizado por clases raras; el weighted F1 resume mejor el rendimiento global.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metricas de compatibilidad y taste se evaluan sobre pares generados por coocurrencia y reglas, no sobre juicios humanos independientes.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5.1_Reporte_de_métricas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