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Título 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Resumo 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Descrição  (máximo 200 palavras):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Objetivo de Aprendizagem (máximo 40 palavras) 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Nível (básico, intermediário, avançado) 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Experiência 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Autores : 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Co-Autores 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Apresentador :</w:t>
      </w:r>
    </w:p>
    <w:p w:rsidR="00000000" w:rsidDel="00000000" w:rsidP="00000000" w:rsidRDefault="00000000" w:rsidRPr="00000000">
      <w:pPr>
        <w:widowControl w:val="0"/>
        <w:spacing w:before="120" w:line="288" w:lineRule="auto"/>
        <w:contextualSpacing w:val="0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Tipo (palestra ou workshop):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d9ead3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© InterÁgil 2017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d9ead3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Enviar para: </w:t>
          </w:r>
          <w:hyperlink r:id="rId1">
            <w:r w:rsidDel="00000000" w:rsidR="00000000" w:rsidRPr="00000000">
              <w:rPr>
                <w:color w:val="1155cc"/>
                <w:sz w:val="16"/>
                <w:szCs w:val="16"/>
                <w:u w:val="single"/>
                <w:rtl w:val="0"/>
              </w:rPr>
              <w:t xml:space="preserve">contato.interagil@gmail.com</w:t>
            </w:r>
          </w:hyperlink>
          <w:r w:rsidDel="00000000" w:rsidR="00000000" w:rsidRPr="00000000">
            <w:rPr>
              <w:sz w:val="16"/>
              <w:szCs w:val="16"/>
              <w:rtl w:val="0"/>
            </w:rPr>
            <w:t xml:space="preserve"> até 30/09/2017</w:t>
          </w:r>
        </w:p>
      </w:tc>
    </w:tr>
  </w:tbl>
  <w:p w:rsidR="00000000" w:rsidDel="00000000" w:rsidP="00000000" w:rsidRDefault="00000000" w:rsidRPr="00000000">
    <w:pPr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widowControl w:val="0"/>
      <w:spacing w:after="0" w:before="480" w:line="312" w:lineRule="auto"/>
      <w:contextualSpacing w:val="0"/>
      <w:rPr/>
    </w:pPr>
    <w:bookmarkStart w:colFirst="0" w:colLast="0" w:name="_1n7xw1vcijmt" w:id="0"/>
    <w:bookmarkEnd w:id="0"/>
    <w:r w:rsidDel="00000000" w:rsidR="00000000" w:rsidRPr="00000000">
      <w:drawing>
        <wp:inline distB="114300" distT="114300" distL="114300" distR="114300">
          <wp:extent cx="1214438" cy="545406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5454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to.interagil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