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240" w:line="240" w:lineRule="auto"/>
        <w:jc w:val="center"/>
        <w:rPr>
          <w:rFonts w:ascii="Times New Roman" w:cs="Times New Roman" w:eastAsia="Times New Roman" w:hAnsi="Times New Roman"/>
          <w:b w:val="1"/>
          <w:bCs w:val="1"/>
          <w:sz w:val="48"/>
          <w:szCs w:val="48"/>
        </w:rPr>
      </w:pPr>
      <w:bookmarkStart w:colFirst="0" w:colLast="0" w:name="_hublhtxsijgl" w:id="0"/>
      <w:bookmarkEnd w:id="0"/>
      <w:r w:rsidDel="00000000" w:rsidR="00000000" w:rsidRPr="00000000">
        <w:rPr>
          <w:rFonts w:ascii="Times New Roman" w:cs="Times New Roman" w:eastAsia="Times New Roman" w:hAnsi="Times New Roman"/>
          <w:b w:val="1"/>
          <w:bCs w:val="1"/>
          <w:sz w:val="48"/>
          <w:szCs w:val="48"/>
          <w:rtl w:val="0"/>
        </w:rPr>
        <w:t xml:space="preserve">SISTEMA CACIF </w:t>
      </w:r>
    </w:p>
    <w:p w:rsidR="00000000" w:rsidDel="00000000" w:rsidP="00000000" w:rsidRDefault="00000000" w:rsidRPr="00000000" w14:paraId="00000002">
      <w:pPr>
        <w:spacing w:after="120" w:before="120" w:line="360" w:lineRule="auto"/>
        <w:jc w:val="both"/>
        <w:rPr>
          <w:rFonts w:ascii="Times New Roman" w:cs="Times New Roman" w:eastAsia="Times New Roman" w:hAnsi="Times New Roman"/>
          <w:sz w:val="24"/>
          <w:szCs w:val="24"/>
        </w:rPr>
      </w:pPr>
      <w:bookmarkStart w:colFirst="0" w:colLast="0" w:name="_gfmr1l9auu13" w:id="1"/>
      <w:bookmarkEnd w:id="1"/>
      <w:r w:rsidDel="00000000" w:rsidR="00000000" w:rsidRPr="00000000">
        <w:rPr>
          <w:rtl w:val="0"/>
        </w:rPr>
      </w:r>
    </w:p>
    <w:p w:rsidR="00000000" w:rsidDel="00000000" w:rsidP="00000000" w:rsidRDefault="00000000" w:rsidRPr="00000000" w14:paraId="00000003">
      <w:pPr>
        <w:pStyle w:val="Heading1"/>
        <w:spacing w:after="60" w:before="240" w:line="240" w:lineRule="auto"/>
        <w:jc w:val="center"/>
        <w:rPr>
          <w:rFonts w:ascii="Times New Roman" w:cs="Times New Roman" w:eastAsia="Times New Roman" w:hAnsi="Times New Roman"/>
          <w:b w:val="1"/>
          <w:bCs w:val="1"/>
          <w:sz w:val="44"/>
          <w:szCs w:val="44"/>
        </w:rPr>
      </w:pPr>
      <w:bookmarkStart w:colFirst="0" w:colLast="0" w:name="_7fy3js9s45ef" w:id="2"/>
      <w:bookmarkEnd w:id="2"/>
      <w:r w:rsidDel="00000000" w:rsidR="00000000" w:rsidRPr="00000000">
        <w:rPr>
          <w:rFonts w:ascii="Times New Roman" w:cs="Times New Roman" w:eastAsia="Times New Roman" w:hAnsi="Times New Roman"/>
          <w:b w:val="1"/>
          <w:bCs w:val="1"/>
          <w:sz w:val="44"/>
          <w:szCs w:val="44"/>
          <w:rtl w:val="0"/>
        </w:rPr>
        <w:t xml:space="preserve">Documento de Arquitectura de Software</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120" w:before="12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Versión 1.0</w:t>
      </w:r>
    </w:p>
    <w:p w:rsidR="00000000" w:rsidDel="00000000" w:rsidP="00000000" w:rsidRDefault="00000000" w:rsidRPr="00000000" w14:paraId="0000000B">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Lima, Mayo del  2026</w:t>
      </w:r>
    </w:p>
    <w:p w:rsidR="00000000" w:rsidDel="00000000" w:rsidP="00000000" w:rsidRDefault="00000000" w:rsidRPr="00000000" w14:paraId="00000013">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20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inicial del documento de 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Fabrizio Mantari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before="200" w:line="360" w:lineRule="auto"/>
        <w:jc w:val="right"/>
        <w:rPr>
          <w:rFonts w:ascii="Times New Roman" w:cs="Times New Roman" w:eastAsia="Times New Roman" w:hAnsi="Times New Roman"/>
          <w:b w:val="1"/>
          <w:bCs w:val="1"/>
          <w:sz w:val="24"/>
          <w:szCs w:val="24"/>
        </w:rPr>
      </w:pPr>
      <w:r w:rsidDel="00000000" w:rsidR="00000000" w:rsidRPr="00000000">
        <w:rPr>
          <w:b w:val="1"/>
          <w:bCs w:val="1"/>
          <w:sz w:val="36"/>
          <w:szCs w:val="36"/>
          <w:rtl w:val="0"/>
        </w:rPr>
        <w:t xml:space="preserve">Tabla de Contenidos</w:t>
      </w:r>
      <w:r w:rsidDel="00000000" w:rsidR="00000000" w:rsidRPr="00000000">
        <w:rPr>
          <w:rtl w:val="0"/>
        </w:rPr>
      </w:r>
    </w:p>
    <w:sdt>
      <w:sdtPr>
        <w:id w:val="1450436448"/>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jc46ljo55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d8w05igxi8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3exr4e0ei9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t9mnezfbog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Definiciones y Acrónimos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rja5lwqnfg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Arquitectónica General</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Capa de Presentación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Capa de Aplicación (Backend)</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Capa de IA y Datos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dbw1e80jzp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Flujo del Pipeline RAG</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30ivcbvvww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Descripción del Flujo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oqmcucfyi4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Diagrama de Secuencia</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5roij2fhtb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Criterios de Calidad del RAG</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eagvtalee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Arquitectura de Infraestructura y Despliegue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0gygqz4wkt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Vista de Despliegue Cloud</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a180ykxih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Arquitectura de Seguridad</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s885jydexi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Modelo de Seguridad del MVP</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4aoatfb8bn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Diagrama de Seguridad</w:t>
            </w:r>
          </w:hyperlink>
          <w:hyperlink w:anchor="_g4aoatfb8bn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r9jjw8raop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Atributos de Calidad y RNF</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dl5u0hh3qa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Stack Tecnológico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200" w:before="20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rjc46ljo558e" w:id="3"/>
      <w:bookmarkEnd w:id="3"/>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46">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zd8w05igxi8o" w:id="4"/>
      <w:bookmarkEnd w:id="4"/>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47">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arquitectura de software del sistema CACIF (Chatbot para la Atención de Consultas de Investigaciones de la FISI). Su objetivo es definir los componentes técnicos, patrones de diseño, flujos de datos e infraestructura que soportan el sistema, sirviendo como referencia principal para el equipo de desarrollo, QA y operaciones.</w:t>
      </w:r>
      <w:r w:rsidDel="00000000" w:rsidR="00000000" w:rsidRPr="00000000">
        <w:rPr>
          <w:rtl w:val="0"/>
        </w:rPr>
      </w:r>
    </w:p>
    <w:p w:rsidR="00000000" w:rsidDel="00000000" w:rsidP="00000000" w:rsidRDefault="00000000" w:rsidRPr="00000000" w14:paraId="00000048">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v3exr4e0ei9s" w:id="5"/>
      <w:bookmarkEnd w:id="5"/>
      <w:r w:rsidDel="00000000" w:rsidR="00000000" w:rsidRPr="00000000">
        <w:rPr>
          <w:rFonts w:ascii="Times New Roman" w:cs="Times New Roman" w:eastAsia="Times New Roman" w:hAnsi="Times New Roman"/>
          <w:b w:val="1"/>
          <w:bCs w:val="1"/>
          <w:sz w:val="24"/>
          <w:szCs w:val="24"/>
          <w:rtl w:val="0"/>
        </w:rPr>
        <w:t xml:space="preserve">Alcance</w:t>
      </w:r>
    </w:p>
    <w:p w:rsidR="00000000" w:rsidDel="00000000" w:rsidP="00000000" w:rsidRDefault="00000000" w:rsidRPr="00000000" w14:paraId="00000049">
      <w:pPr>
        <w:spacing w:after="200" w:before="200" w:line="360" w:lineRule="auto"/>
        <w:ind w:left="720" w:firstLine="0"/>
        <w:jc w:val="both"/>
        <w:rPr/>
      </w:pPr>
      <w:r w:rsidDel="00000000" w:rsidR="00000000" w:rsidRPr="00000000">
        <w:rPr>
          <w:rtl w:val="0"/>
        </w:rPr>
        <w:t xml:space="preserve">El documento cubre la arquitectura de los siguientes módulos:</w:t>
      </w:r>
    </w:p>
    <w:p w:rsidR="00000000" w:rsidDel="00000000" w:rsidP="00000000" w:rsidRDefault="00000000" w:rsidRPr="00000000" w14:paraId="0000004A">
      <w:pPr>
        <w:numPr>
          <w:ilvl w:val="0"/>
          <w:numId w:val="8"/>
        </w:numPr>
        <w:spacing w:after="200" w:before="200" w:line="360" w:lineRule="auto"/>
        <w:ind w:left="1440" w:hanging="360"/>
        <w:rPr>
          <w:u w:val="none"/>
        </w:rPr>
      </w:pPr>
      <w:r w:rsidDel="00000000" w:rsidR="00000000" w:rsidRPr="00000000">
        <w:rPr>
          <w:rtl w:val="0"/>
        </w:rPr>
        <w:t xml:space="preserve">CU01 — Búsqueda y Selección de Grupo de Investigación</w:t>
      </w:r>
    </w:p>
    <w:p w:rsidR="00000000" w:rsidDel="00000000" w:rsidP="00000000" w:rsidRDefault="00000000" w:rsidRPr="00000000" w14:paraId="0000004B">
      <w:pPr>
        <w:numPr>
          <w:ilvl w:val="0"/>
          <w:numId w:val="8"/>
        </w:numPr>
        <w:spacing w:after="200" w:before="200" w:line="360" w:lineRule="auto"/>
        <w:ind w:left="1440" w:hanging="360"/>
        <w:rPr>
          <w:u w:val="none"/>
        </w:rPr>
      </w:pPr>
      <w:r w:rsidDel="00000000" w:rsidR="00000000" w:rsidRPr="00000000">
        <w:rPr>
          <w:rtl w:val="0"/>
        </w:rPr>
        <w:t xml:space="preserve">CU02 — Consulta y Postulación a Convocatorias</w:t>
      </w:r>
    </w:p>
    <w:p w:rsidR="00000000" w:rsidDel="00000000" w:rsidP="00000000" w:rsidRDefault="00000000" w:rsidRPr="00000000" w14:paraId="0000004C">
      <w:pPr>
        <w:numPr>
          <w:ilvl w:val="0"/>
          <w:numId w:val="8"/>
        </w:numPr>
        <w:spacing w:after="200" w:before="200" w:line="360" w:lineRule="auto"/>
        <w:ind w:left="1440" w:hanging="360"/>
        <w:rPr>
          <w:u w:val="none"/>
        </w:rPr>
      </w:pPr>
      <w:r w:rsidDel="00000000" w:rsidR="00000000" w:rsidRPr="00000000">
        <w:rPr>
          <w:rtl w:val="0"/>
        </w:rPr>
        <w:t xml:space="preserve">CU03 — Asesoría Administrativa para Tesis</w:t>
      </w:r>
    </w:p>
    <w:p w:rsidR="00000000" w:rsidDel="00000000" w:rsidP="00000000" w:rsidRDefault="00000000" w:rsidRPr="00000000" w14:paraId="0000004D">
      <w:pPr>
        <w:numPr>
          <w:ilvl w:val="0"/>
          <w:numId w:val="8"/>
        </w:numPr>
        <w:spacing w:after="200" w:before="200" w:line="360" w:lineRule="auto"/>
        <w:ind w:left="1440" w:hanging="360"/>
        <w:rPr>
          <w:u w:val="none"/>
        </w:rPr>
      </w:pPr>
      <w:r w:rsidDel="00000000" w:rsidR="00000000" w:rsidRPr="00000000">
        <w:rPr>
          <w:rtl w:val="0"/>
        </w:rPr>
        <w:t xml:space="preserve">CU04 — Consulta de Derechos y Marco Normativo</w:t>
      </w:r>
      <w:r w:rsidDel="00000000" w:rsidR="00000000" w:rsidRPr="00000000">
        <w:rPr>
          <w:rtl w:val="0"/>
        </w:rPr>
      </w:r>
    </w:p>
    <w:p w:rsidR="00000000" w:rsidDel="00000000" w:rsidP="00000000" w:rsidRDefault="00000000" w:rsidRPr="00000000" w14:paraId="0000004E">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kt9mnezfbogc" w:id="6"/>
      <w:bookmarkEnd w:id="6"/>
      <w:r w:rsidDel="00000000" w:rsidR="00000000" w:rsidRPr="00000000">
        <w:rPr>
          <w:rFonts w:ascii="Times New Roman" w:cs="Times New Roman" w:eastAsia="Times New Roman" w:hAnsi="Times New Roman"/>
          <w:b w:val="1"/>
          <w:bCs w:val="1"/>
          <w:sz w:val="24"/>
          <w:szCs w:val="24"/>
          <w:rtl w:val="0"/>
        </w:rPr>
        <w:t xml:space="preserve">Definiciones y Acrónimos</w:t>
      </w:r>
      <w:r w:rsidDel="00000000" w:rsidR="00000000" w:rsidRPr="00000000">
        <w:rPr>
          <w:rtl w:val="0"/>
        </w:rPr>
      </w:r>
    </w:p>
    <w:tbl>
      <w:tblPr>
        <w:tblStyle w:val="Table2"/>
        <w:tblW w:w="82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780"/>
        <w:tblGridChange w:id="0">
          <w:tblGrid>
            <w:gridCol w:w="1500"/>
            <w:gridCol w:w="6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60.0" w:type="dxa"/>
              <w:bottom w:w="80.0" w:type="dxa"/>
              <w:right w:w="160.0" w:type="dxa"/>
            </w:tcMar>
          </w:tcPr>
          <w:p w:rsidR="00000000" w:rsidDel="00000000" w:rsidP="00000000" w:rsidRDefault="00000000" w:rsidRPr="00000000" w14:paraId="0000004F">
            <w:pPr>
              <w:spacing w:line="360" w:lineRule="auto"/>
              <w:rPr/>
            </w:pPr>
            <w:r w:rsidDel="00000000" w:rsidR="00000000" w:rsidRPr="00000000">
              <w:rPr>
                <w:b w:val="1"/>
                <w:bCs w:val="1"/>
                <w:sz w:val="20"/>
                <w:szCs w:val="20"/>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fe2f3" w:val="clear"/>
            <w:tcMar>
              <w:top w:w="80.0" w:type="dxa"/>
              <w:left w:w="160.0" w:type="dxa"/>
              <w:bottom w:w="80.0" w:type="dxa"/>
              <w:right w:w="160.0" w:type="dxa"/>
            </w:tcMar>
          </w:tcPr>
          <w:p w:rsidR="00000000" w:rsidDel="00000000" w:rsidP="00000000" w:rsidRDefault="00000000" w:rsidRPr="00000000" w14:paraId="00000050">
            <w:pPr>
              <w:spacing w:line="360" w:lineRule="auto"/>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1">
            <w:pPr>
              <w:spacing w:line="360" w:lineRule="auto"/>
              <w:rPr/>
            </w:pPr>
            <w:r w:rsidDel="00000000" w:rsidR="00000000" w:rsidRPr="00000000">
              <w:rPr>
                <w:b w:val="1"/>
                <w:bCs w:val="1"/>
                <w:sz w:val="20"/>
                <w:szCs w:val="20"/>
                <w:rtl w:val="0"/>
              </w:rPr>
              <w:t xml:space="preserve">CACIF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2">
            <w:pPr>
              <w:spacing w:line="360" w:lineRule="auto"/>
              <w:rPr/>
            </w:pPr>
            <w:r w:rsidDel="00000000" w:rsidR="00000000" w:rsidRPr="00000000">
              <w:rPr>
                <w:sz w:val="20"/>
                <w:szCs w:val="20"/>
                <w:rtl w:val="0"/>
              </w:rPr>
              <w:t xml:space="preserve">Chatbot para la Atención de Consultas de Investigaciones de la FISI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3">
            <w:pPr>
              <w:spacing w:line="360" w:lineRule="auto"/>
              <w:rPr/>
            </w:pPr>
            <w:r w:rsidDel="00000000" w:rsidR="00000000" w:rsidRPr="00000000">
              <w:rPr>
                <w:b w:val="1"/>
                <w:bCs w:val="1"/>
                <w:sz w:val="20"/>
                <w:szCs w:val="20"/>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4">
            <w:pPr>
              <w:spacing w:line="360" w:lineRule="auto"/>
              <w:rPr/>
            </w:pPr>
            <w:r w:rsidDel="00000000" w:rsidR="00000000" w:rsidRPr="00000000">
              <w:rPr>
                <w:sz w:val="20"/>
                <w:szCs w:val="20"/>
                <w:rtl w:val="0"/>
              </w:rPr>
              <w:t xml:space="preserve">Retrieval-Augmented Generation — Arquitectura de IA que combina recuperación de documentos con generación de texto para respuestas precisas y fundamentadas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5">
            <w:pPr>
              <w:spacing w:line="360" w:lineRule="auto"/>
              <w:rPr/>
            </w:pPr>
            <w:r w:rsidDel="00000000" w:rsidR="00000000" w:rsidRPr="00000000">
              <w:rPr>
                <w:b w:val="1"/>
                <w:bCs w:val="1"/>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6">
            <w:pPr>
              <w:spacing w:line="360" w:lineRule="auto"/>
              <w:rPr/>
            </w:pPr>
            <w:r w:rsidDel="00000000" w:rsidR="00000000" w:rsidRPr="00000000">
              <w:rPr>
                <w:sz w:val="20"/>
                <w:szCs w:val="20"/>
                <w:rtl w:val="0"/>
              </w:rPr>
              <w:t xml:space="preserve">Large Language Model — Modelo de lenguaje de gran escala (Google Gemini en este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7">
            <w:pPr>
              <w:spacing w:line="360" w:lineRule="auto"/>
              <w:rPr/>
            </w:pPr>
            <w:r w:rsidDel="00000000" w:rsidR="00000000" w:rsidRPr="00000000">
              <w:rPr>
                <w:b w:val="1"/>
                <w:bCs w:val="1"/>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8">
            <w:pPr>
              <w:spacing w:line="360" w:lineRule="auto"/>
              <w:rPr/>
            </w:pPr>
            <w:r w:rsidDel="00000000" w:rsidR="00000000" w:rsidRPr="00000000">
              <w:rPr>
                <w:sz w:val="20"/>
                <w:szCs w:val="20"/>
                <w:rtl w:val="0"/>
              </w:rPr>
              <w:t xml:space="preserve">Application Programming Interface — Interfaz de programación de aplicaciones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9">
            <w:pPr>
              <w:spacing w:line="360" w:lineRule="auto"/>
              <w:rPr/>
            </w:pPr>
            <w:r w:rsidDel="00000000" w:rsidR="00000000" w:rsidRPr="00000000">
              <w:rPr>
                <w:b w:val="1"/>
                <w:bCs w:val="1"/>
                <w:sz w:val="20"/>
                <w:szCs w:val="20"/>
                <w:rtl w:val="0"/>
              </w:rPr>
              <w:t xml:space="preserve">FISI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A">
            <w:pPr>
              <w:spacing w:line="360" w:lineRule="auto"/>
              <w:rPr/>
            </w:pPr>
            <w:r w:rsidDel="00000000" w:rsidR="00000000" w:rsidRPr="00000000">
              <w:rPr>
                <w:sz w:val="20"/>
                <w:szCs w:val="20"/>
                <w:rtl w:val="0"/>
              </w:rPr>
              <w:t xml:space="preserve">Facultad de Ingeniería de Sistemas e Informática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B">
            <w:pPr>
              <w:spacing w:line="360" w:lineRule="auto"/>
              <w:rPr/>
            </w:pPr>
            <w:r w:rsidDel="00000000" w:rsidR="00000000" w:rsidRPr="00000000">
              <w:rPr>
                <w:b w:val="1"/>
                <w:bCs w:val="1"/>
                <w:sz w:val="20"/>
                <w:szCs w:val="20"/>
                <w:rtl w:val="0"/>
              </w:rPr>
              <w:t xml:space="preserve">UNMSM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C">
            <w:pPr>
              <w:spacing w:line="360" w:lineRule="auto"/>
              <w:rPr/>
            </w:pPr>
            <w:r w:rsidDel="00000000" w:rsidR="00000000" w:rsidRPr="00000000">
              <w:rPr>
                <w:sz w:val="20"/>
                <w:szCs w:val="20"/>
                <w:rtl w:val="0"/>
              </w:rPr>
              <w:t xml:space="preserve">Universidad Nacional Mayor de San Marcos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D">
            <w:pPr>
              <w:spacing w:line="360" w:lineRule="auto"/>
              <w:rPr/>
            </w:pPr>
            <w:r w:rsidDel="00000000" w:rsidR="00000000" w:rsidRPr="00000000">
              <w:rPr>
                <w:b w:val="1"/>
                <w:bCs w:val="1"/>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E">
            <w:pPr>
              <w:spacing w:line="360" w:lineRule="auto"/>
              <w:rPr/>
            </w:pPr>
            <w:r w:rsidDel="00000000" w:rsidR="00000000" w:rsidRPr="00000000">
              <w:rPr>
                <w:sz w:val="20"/>
                <w:szCs w:val="20"/>
                <w:rtl w:val="0"/>
              </w:rPr>
              <w:t xml:space="preserve">Continuous Integration / Continuous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F">
            <w:pPr>
              <w:spacing w:line="360" w:lineRule="auto"/>
              <w:rPr/>
            </w:pPr>
            <w:r w:rsidDel="00000000" w:rsidR="00000000" w:rsidRPr="00000000">
              <w:rPr>
                <w:b w:val="1"/>
                <w:bCs w:val="1"/>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0">
            <w:pPr>
              <w:spacing w:line="360" w:lineRule="auto"/>
              <w:rPr/>
            </w:pPr>
            <w:r w:rsidDel="00000000" w:rsidR="00000000" w:rsidRPr="00000000">
              <w:rPr>
                <w:sz w:val="20"/>
                <w:szCs w:val="20"/>
                <w:rtl w:val="0"/>
              </w:rPr>
              <w:t xml:space="preserve">JSON Web Token — Estándar para autenticación stateless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1">
            <w:pPr>
              <w:spacing w:line="360" w:lineRule="auto"/>
              <w:rPr/>
            </w:pPr>
            <w:r w:rsidDel="00000000" w:rsidR="00000000" w:rsidRPr="00000000">
              <w:rPr>
                <w:b w:val="1"/>
                <w:bCs w:val="1"/>
                <w:sz w:val="20"/>
                <w:szCs w:val="20"/>
                <w:rtl w:val="0"/>
              </w:rPr>
              <w:t xml:space="preserve">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2">
            <w:pPr>
              <w:spacing w:line="360" w:lineRule="auto"/>
              <w:rPr/>
            </w:pPr>
            <w:r w:rsidDel="00000000" w:rsidR="00000000" w:rsidRPr="00000000">
              <w:rPr>
                <w:sz w:val="20"/>
                <w:szCs w:val="20"/>
                <w:rtl w:val="0"/>
              </w:rPr>
              <w:t xml:space="preserve">Progressive Web Application</w:t>
            </w:r>
            <w:r w:rsidDel="00000000" w:rsidR="00000000" w:rsidRPr="00000000">
              <w:rPr>
                <w:rtl w:val="0"/>
              </w:rPr>
            </w:r>
          </w:p>
        </w:tc>
      </w:tr>
    </w:tbl>
    <w:p w:rsidR="00000000" w:rsidDel="00000000" w:rsidP="00000000" w:rsidRDefault="00000000" w:rsidRPr="00000000" w14:paraId="00000063">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7rja5lwqnfgb" w:id="7"/>
      <w:bookmarkEnd w:id="7"/>
      <w:r w:rsidDel="00000000" w:rsidR="00000000" w:rsidRPr="00000000">
        <w:rPr>
          <w:rFonts w:ascii="Times New Roman" w:cs="Times New Roman" w:eastAsia="Times New Roman" w:hAnsi="Times New Roman"/>
          <w:b w:val="1"/>
          <w:bCs w:val="1"/>
          <w:sz w:val="24"/>
          <w:szCs w:val="24"/>
          <w:rtl w:val="0"/>
        </w:rPr>
        <w:t xml:space="preserve">Descripción Arquitectónica General</w:t>
      </w:r>
      <w:r w:rsidDel="00000000" w:rsidR="00000000" w:rsidRPr="00000000">
        <w:rPr>
          <w:rtl w:val="0"/>
        </w:rPr>
      </w:r>
    </w:p>
    <w:p w:rsidR="00000000" w:rsidDel="00000000" w:rsidP="00000000" w:rsidRDefault="00000000" w:rsidRPr="00000000" w14:paraId="00000064">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Estilo Arquitectónico</w:t>
      </w:r>
    </w:p>
    <w:p w:rsidR="00000000" w:rsidDel="00000000" w:rsidP="00000000" w:rsidRDefault="00000000" w:rsidRPr="00000000" w14:paraId="00000065">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CACIF adopta una arquitectura en capas (Layered Architecture) con un núcleo de procesamiento basado en el patrón RAG (Retrieval-Augmented Generation). Los principios rectores son:</w:t>
      </w:r>
    </w:p>
    <w:p w:rsidR="00000000" w:rsidDel="00000000" w:rsidP="00000000" w:rsidRDefault="00000000" w:rsidRPr="00000000" w14:paraId="00000066">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de responsabilidades por capas: Presentación, Aplicación, Inteligencia Artificial / Datos.</w:t>
      </w:r>
    </w:p>
    <w:p w:rsidR="00000000" w:rsidDel="00000000" w:rsidP="00000000" w:rsidRDefault="00000000" w:rsidRPr="00000000" w14:paraId="00000067">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cada módulo de caso de uso puede actualizarse independientemente.</w:t>
      </w:r>
    </w:p>
    <w:p w:rsidR="00000000" w:rsidDel="00000000" w:rsidP="00000000" w:rsidRDefault="00000000" w:rsidRPr="00000000" w14:paraId="00000068">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 el backend no mantiene estado de sesión en memoria; usa JWT para autenticación stateless.</w:t>
      </w:r>
    </w:p>
    <w:p w:rsidR="00000000" w:rsidDel="00000000" w:rsidP="00000000" w:rsidRDefault="00000000" w:rsidRPr="00000000" w14:paraId="00000069">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horizontal: los servicios de backend se despliegan en contenedores.</w:t>
      </w:r>
    </w:p>
    <w:p w:rsidR="00000000" w:rsidDel="00000000" w:rsidP="00000000" w:rsidRDefault="00000000" w:rsidRPr="00000000" w14:paraId="0000006A">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por capas: WAF en el edge, autenticación JWT, firewall interno y cifrado TLS.</w:t>
      </w:r>
      <w:r w:rsidDel="00000000" w:rsidR="00000000" w:rsidRPr="00000000">
        <w:rPr>
          <w:rtl w:val="0"/>
        </w:rPr>
      </w:r>
    </w:p>
    <w:p w:rsidR="00000000" w:rsidDel="00000000" w:rsidP="00000000" w:rsidRDefault="00000000" w:rsidRPr="00000000" w14:paraId="0000006B">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Arquitectura en Capas</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314325</wp:posOffset>
            </wp:positionV>
            <wp:extent cx="5363578" cy="3472892"/>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63578" cy="3472892"/>
                    </a:xfrm>
                    <a:prstGeom prst="rect"/>
                    <a:ln/>
                  </pic:spPr>
                </pic:pic>
              </a:graphicData>
            </a:graphic>
          </wp:anchor>
        </w:drawing>
      </w:r>
    </w:p>
    <w:p w:rsidR="00000000" w:rsidDel="00000000" w:rsidP="00000000" w:rsidRDefault="00000000" w:rsidRPr="00000000" w14:paraId="0000006C">
      <w:pPr>
        <w:spacing w:after="80" w:before="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00" w:before="200" w:line="360" w:lineRule="auto"/>
        <w:ind w:firstLine="720"/>
        <w:jc w:val="center"/>
        <w:rPr>
          <w:rFonts w:ascii="Times New Roman" w:cs="Times New Roman" w:eastAsia="Times New Roman" w:hAnsi="Times New Roman"/>
          <w:b w:val="1"/>
          <w:bCs w:val="1"/>
          <w:sz w:val="24"/>
          <w:szCs w:val="24"/>
        </w:rPr>
      </w:pPr>
      <w:r w:rsidDel="00000000" w:rsidR="00000000" w:rsidRPr="00000000">
        <w:rPr>
          <w:i w:val="1"/>
          <w:iCs w:val="1"/>
          <w:color w:val="555555"/>
          <w:sz w:val="20"/>
          <w:szCs w:val="20"/>
          <w:rtl w:val="0"/>
        </w:rPr>
        <w:t xml:space="preserve">Figura 1. Arquitectura en Capas del CACIF</w:t>
      </w:r>
      <w:r w:rsidDel="00000000" w:rsidR="00000000" w:rsidRPr="00000000">
        <w:rPr>
          <w:rtl w:val="0"/>
        </w:rPr>
      </w:r>
    </w:p>
    <w:p w:rsidR="00000000" w:rsidDel="00000000" w:rsidP="00000000" w:rsidRDefault="00000000" w:rsidRPr="00000000" w14:paraId="0000006E">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 de Componentes por Capa</w:t>
      </w:r>
    </w:p>
    <w:p w:rsidR="00000000" w:rsidDel="00000000" w:rsidP="00000000" w:rsidRDefault="00000000" w:rsidRPr="00000000" w14:paraId="0000006F">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Presentación</w:t>
      </w:r>
    </w:p>
    <w:p w:rsidR="00000000" w:rsidDel="00000000" w:rsidP="00000000" w:rsidRDefault="00000000" w:rsidRPr="00000000" w14:paraId="00000070">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SPA: interfaz de chat conversacional con soporte PWA.</w:t>
      </w:r>
    </w:p>
    <w:p w:rsidR="00000000" w:rsidDel="00000000" w:rsidP="00000000" w:rsidRDefault="00000000" w:rsidRPr="00000000" w14:paraId="00000071">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simulada (Mock JWT) para MVP. La integración real con UNMSM SSO vía OAuth 2.0 queda planificada para versiones posteriores. </w:t>
      </w:r>
      <w:r w:rsidDel="00000000" w:rsidR="00000000" w:rsidRPr="00000000">
        <w:rPr>
          <w:rtl w:val="0"/>
        </w:rPr>
      </w:r>
    </w:p>
    <w:p w:rsidR="00000000" w:rsidDel="00000000" w:rsidP="00000000" w:rsidRDefault="00000000" w:rsidRPr="00000000" w14:paraId="00000072">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historial de conversación con la base de datos.</w:t>
      </w:r>
    </w:p>
    <w:p w:rsidR="00000000" w:rsidDel="00000000" w:rsidP="00000000" w:rsidRDefault="00000000" w:rsidRPr="00000000" w14:paraId="00000073">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Aplicación (Backend)</w:t>
      </w:r>
    </w:p>
    <w:p w:rsidR="00000000" w:rsidDel="00000000" w:rsidP="00000000" w:rsidRDefault="00000000" w:rsidRPr="00000000" w14:paraId="00000074">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 en FastAPI: punto de entrada unificado, manejo de rutas, CORS, rate limiting.</w:t>
      </w:r>
    </w:p>
    <w:p w:rsidR="00000000" w:rsidDel="00000000" w:rsidP="00000000" w:rsidRDefault="00000000" w:rsidRPr="00000000" w14:paraId="00000075">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Classifier: módulo que detecta el caso de uso (CU01–CU04) a partir del texto libre.</w:t>
      </w:r>
    </w:p>
    <w:p w:rsidR="00000000" w:rsidDel="00000000" w:rsidP="00000000" w:rsidRDefault="00000000" w:rsidRPr="00000000" w14:paraId="00000076">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Manager: administra sesiones, historial y contexto de conversación multi-turno.</w:t>
      </w:r>
    </w:p>
    <w:p w:rsidR="00000000" w:rsidDel="00000000" w:rsidP="00000000" w:rsidRDefault="00000000" w:rsidRPr="00000000" w14:paraId="00000077">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Middleware: valida tokens JWT para proteger los endpoints.</w:t>
      </w:r>
    </w:p>
    <w:p w:rsidR="00000000" w:rsidDel="00000000" w:rsidP="00000000" w:rsidRDefault="00000000" w:rsidRPr="00000000" w14:paraId="00000078">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IA y Datos</w:t>
      </w:r>
    </w:p>
    <w:p w:rsidR="00000000" w:rsidDel="00000000" w:rsidP="00000000" w:rsidRDefault="00000000" w:rsidRPr="00000000" w14:paraId="00000079">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Google Gemini (vía API) para generación de respuestas en español académico.</w:t>
      </w:r>
    </w:p>
    <w:p w:rsidR="00000000" w:rsidDel="00000000" w:rsidP="00000000" w:rsidRDefault="00000000" w:rsidRPr="00000000" w14:paraId="0000007A">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modelo de embeddings de Google para transformar consultas y documentos a vectores.</w:t>
      </w:r>
    </w:p>
    <w:p w:rsidR="00000000" w:rsidDel="00000000" w:rsidP="00000000" w:rsidRDefault="00000000" w:rsidRPr="00000000" w14:paraId="0000007B">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 almacena y consulta los embeddings de los reglamentos y documentos normativos de la FISI.</w:t>
      </w:r>
    </w:p>
    <w:p w:rsidR="00000000" w:rsidDel="00000000" w:rsidP="00000000" w:rsidRDefault="00000000" w:rsidRPr="00000000" w14:paraId="0000007C">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(PostgreSQL): almacena historial de conversaciones y usuarios según el diagrama ER del proyecto.</w:t>
      </w:r>
    </w:p>
    <w:p w:rsidR="00000000" w:rsidDel="00000000" w:rsidP="00000000" w:rsidRDefault="00000000" w:rsidRPr="00000000" w14:paraId="0000007D">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normativa: PDFs procesados de reglamentos del VRI y FISI, ingestados previamente de forma offline.</w:t>
      </w:r>
      <w:r w:rsidDel="00000000" w:rsidR="00000000" w:rsidRPr="00000000">
        <w:rPr>
          <w:rtl w:val="0"/>
        </w:rPr>
      </w:r>
    </w:p>
    <w:p w:rsidR="00000000" w:rsidDel="00000000" w:rsidP="00000000" w:rsidRDefault="00000000" w:rsidRPr="00000000" w14:paraId="0000007E">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idbw1e80jzp7" w:id="8"/>
      <w:bookmarkEnd w:id="8"/>
      <w:r w:rsidDel="00000000" w:rsidR="00000000" w:rsidRPr="00000000">
        <w:rPr>
          <w:rFonts w:ascii="Times New Roman" w:cs="Times New Roman" w:eastAsia="Times New Roman" w:hAnsi="Times New Roman"/>
          <w:b w:val="1"/>
          <w:bCs w:val="1"/>
          <w:sz w:val="24"/>
          <w:szCs w:val="24"/>
          <w:rtl w:val="0"/>
        </w:rPr>
        <w:t xml:space="preserve">Flujo del Pipeline RAG</w:t>
      </w:r>
    </w:p>
    <w:p w:rsidR="00000000" w:rsidDel="00000000" w:rsidP="00000000" w:rsidRDefault="00000000" w:rsidRPr="00000000" w14:paraId="0000007F">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330ivcbvvww9" w:id="9"/>
      <w:bookmarkEnd w:id="9"/>
      <w:r w:rsidDel="00000000" w:rsidR="00000000" w:rsidRPr="00000000">
        <w:rPr>
          <w:rFonts w:ascii="Times New Roman" w:cs="Times New Roman" w:eastAsia="Times New Roman" w:hAnsi="Times New Roman"/>
          <w:b w:val="1"/>
          <w:bCs w:val="1"/>
          <w:sz w:val="24"/>
          <w:szCs w:val="24"/>
          <w:rtl w:val="0"/>
        </w:rPr>
        <w:t xml:space="preserve">Descripción del Flujo</w:t>
      </w:r>
    </w:p>
    <w:p w:rsidR="00000000" w:rsidDel="00000000" w:rsidP="00000000" w:rsidRDefault="00000000" w:rsidRPr="00000000" w14:paraId="00000080">
      <w:pPr>
        <w:spacing w:after="200" w:before="200" w:line="360" w:lineRule="auto"/>
        <w:ind w:left="720" w:firstLine="0"/>
        <w:jc w:val="both"/>
        <w:rPr/>
      </w:pPr>
      <w:r w:rsidDel="00000000" w:rsidR="00000000" w:rsidRPr="00000000">
        <w:rPr>
          <w:rtl w:val="0"/>
        </w:rPr>
        <w:t xml:space="preserve">El pipeline RAG es el núcleo inteligente del CACIF. Cuando el estudiante realiza una consulta, el sistema sigue estos pasos:</w:t>
      </w:r>
    </w:p>
    <w:p w:rsidR="00000000" w:rsidDel="00000000" w:rsidP="00000000" w:rsidRDefault="00000000" w:rsidRPr="00000000" w14:paraId="00000081">
      <w:pPr>
        <w:numPr>
          <w:ilvl w:val="0"/>
          <w:numId w:val="5"/>
        </w:numPr>
        <w:spacing w:after="200" w:before="200" w:line="360" w:lineRule="auto"/>
        <w:ind w:left="1440" w:hanging="360"/>
        <w:rPr>
          <w:u w:val="none"/>
        </w:rPr>
      </w:pPr>
      <w:r w:rsidDel="00000000" w:rsidR="00000000" w:rsidRPr="00000000">
        <w:rPr>
          <w:rtl w:val="0"/>
        </w:rPr>
        <w:t xml:space="preserve">(1) El frontend envía el mensaje al backend vía POST /chat.</w:t>
      </w:r>
    </w:p>
    <w:p w:rsidR="00000000" w:rsidDel="00000000" w:rsidP="00000000" w:rsidRDefault="00000000" w:rsidRPr="00000000" w14:paraId="00000082">
      <w:pPr>
        <w:numPr>
          <w:ilvl w:val="0"/>
          <w:numId w:val="5"/>
        </w:numPr>
        <w:spacing w:after="200" w:before="200" w:line="360" w:lineRule="auto"/>
        <w:ind w:left="1440" w:hanging="360"/>
        <w:rPr>
          <w:u w:val="none"/>
        </w:rPr>
      </w:pPr>
      <w:r w:rsidDel="00000000" w:rsidR="00000000" w:rsidRPr="00000000">
        <w:rPr>
          <w:rtl w:val="0"/>
        </w:rPr>
        <w:t xml:space="preserve">(2) El Auth Middleware valida el JWT; si es inválido retorna 401.</w:t>
      </w:r>
    </w:p>
    <w:p w:rsidR="00000000" w:rsidDel="00000000" w:rsidP="00000000" w:rsidRDefault="00000000" w:rsidRPr="00000000" w14:paraId="00000083">
      <w:pPr>
        <w:numPr>
          <w:ilvl w:val="0"/>
          <w:numId w:val="5"/>
        </w:numPr>
        <w:spacing w:after="200" w:before="200" w:line="360" w:lineRule="auto"/>
        <w:ind w:left="1440" w:hanging="360"/>
        <w:rPr>
          <w:u w:val="none"/>
        </w:rPr>
      </w:pPr>
      <w:r w:rsidDel="00000000" w:rsidR="00000000" w:rsidRPr="00000000">
        <w:rPr>
          <w:rtl w:val="0"/>
        </w:rPr>
        <w:t xml:space="preserve">(3) El Intent Classifier identifica el caso de uso (CU01–CU04).</w:t>
      </w:r>
    </w:p>
    <w:p w:rsidR="00000000" w:rsidDel="00000000" w:rsidP="00000000" w:rsidRDefault="00000000" w:rsidRPr="00000000" w14:paraId="00000084">
      <w:pPr>
        <w:numPr>
          <w:ilvl w:val="0"/>
          <w:numId w:val="5"/>
        </w:numPr>
        <w:spacing w:after="200" w:before="200" w:line="360" w:lineRule="auto"/>
        <w:ind w:left="1440" w:hanging="360"/>
        <w:rPr>
          <w:u w:val="none"/>
        </w:rPr>
      </w:pPr>
      <w:r w:rsidDel="00000000" w:rsidR="00000000" w:rsidRPr="00000000">
        <w:rPr>
          <w:rtl w:val="0"/>
        </w:rPr>
        <w:t xml:space="preserve">(4) Se genera el embedding de la consulta usando el modelo de Google.</w:t>
      </w:r>
    </w:p>
    <w:p w:rsidR="00000000" w:rsidDel="00000000" w:rsidP="00000000" w:rsidRDefault="00000000" w:rsidRPr="00000000" w14:paraId="00000085">
      <w:pPr>
        <w:numPr>
          <w:ilvl w:val="0"/>
          <w:numId w:val="5"/>
        </w:numPr>
        <w:spacing w:after="200" w:before="200" w:line="360" w:lineRule="auto"/>
        <w:ind w:left="1440" w:hanging="360"/>
        <w:rPr>
          <w:u w:val="none"/>
        </w:rPr>
      </w:pPr>
      <w:r w:rsidDel="00000000" w:rsidR="00000000" w:rsidRPr="00000000">
        <w:rPr>
          <w:rtl w:val="0"/>
        </w:rPr>
        <w:t xml:space="preserve">(5) Azure AI Search recupera los chunks más relevantes de la base normativa (top-k por similitud coseno, umbral &gt; 0.75).</w:t>
      </w:r>
    </w:p>
    <w:p w:rsidR="00000000" w:rsidDel="00000000" w:rsidP="00000000" w:rsidRDefault="00000000" w:rsidRPr="00000000" w14:paraId="00000086">
      <w:pPr>
        <w:numPr>
          <w:ilvl w:val="0"/>
          <w:numId w:val="5"/>
        </w:numPr>
        <w:spacing w:after="200" w:before="200" w:line="360" w:lineRule="auto"/>
        <w:ind w:left="1440" w:hanging="360"/>
        <w:rPr>
          <w:u w:val="none"/>
        </w:rPr>
      </w:pPr>
      <w:r w:rsidDel="00000000" w:rsidR="00000000" w:rsidRPr="00000000">
        <w:rPr>
          <w:rtl w:val="0"/>
        </w:rPr>
        <w:t xml:space="preserve">(6) Se construye el prompt aumentado con los chunks recuperados y se envía a Gemini.</w:t>
      </w:r>
    </w:p>
    <w:p w:rsidR="00000000" w:rsidDel="00000000" w:rsidP="00000000" w:rsidRDefault="00000000" w:rsidRPr="00000000" w14:paraId="00000087">
      <w:pPr>
        <w:numPr>
          <w:ilvl w:val="0"/>
          <w:numId w:val="5"/>
        </w:numPr>
        <w:spacing w:after="200" w:before="200" w:line="360" w:lineRule="auto"/>
        <w:ind w:left="1440" w:hanging="360"/>
        <w:rPr>
          <w:u w:val="none"/>
        </w:rPr>
      </w:pPr>
      <w:r w:rsidDel="00000000" w:rsidR="00000000" w:rsidRPr="00000000">
        <w:rPr>
          <w:rtl w:val="0"/>
        </w:rPr>
        <w:t xml:space="preserve">(7) Gemini genera la respuesta en español con citas a las fuentes normativas.</w:t>
      </w:r>
    </w:p>
    <w:p w:rsidR="00000000" w:rsidDel="00000000" w:rsidP="00000000" w:rsidRDefault="00000000" w:rsidRPr="00000000" w14:paraId="00000088">
      <w:pPr>
        <w:numPr>
          <w:ilvl w:val="0"/>
          <w:numId w:val="5"/>
        </w:numPr>
        <w:spacing w:after="200" w:before="200" w:line="360" w:lineRule="auto"/>
        <w:ind w:left="1440" w:hanging="360"/>
        <w:rPr>
          <w:u w:val="none"/>
        </w:rPr>
      </w:pPr>
      <w:r w:rsidDel="00000000" w:rsidR="00000000" w:rsidRPr="00000000">
        <w:rPr>
          <w:rtl w:val="0"/>
        </w:rPr>
        <w:t xml:space="preserve">(8) La respuesta se retorna al frontend y el historial se guarda en Supabase.</w:t>
      </w:r>
      <w:r w:rsidDel="00000000" w:rsidR="00000000" w:rsidRPr="00000000">
        <w:rPr>
          <w:rtl w:val="0"/>
        </w:rPr>
      </w:r>
    </w:p>
    <w:p w:rsidR="00000000" w:rsidDel="00000000" w:rsidP="00000000" w:rsidRDefault="00000000" w:rsidRPr="00000000" w14:paraId="00000089">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2oqmcucfyi41" w:id="10"/>
      <w:bookmarkEnd w:id="10"/>
      <w:r w:rsidDel="00000000" w:rsidR="00000000" w:rsidRPr="00000000">
        <w:rPr>
          <w:rFonts w:ascii="Times New Roman" w:cs="Times New Roman" w:eastAsia="Times New Roman" w:hAnsi="Times New Roman"/>
          <w:b w:val="1"/>
          <w:bCs w:val="1"/>
          <w:sz w:val="24"/>
          <w:szCs w:val="24"/>
          <w:rtl w:val="0"/>
        </w:rPr>
        <w:t xml:space="preserve">Diagrama de Secuencia</w:t>
      </w:r>
    </w:p>
    <w:p w:rsidR="00000000" w:rsidDel="00000000" w:rsidP="00000000" w:rsidRDefault="00000000" w:rsidRPr="00000000" w14:paraId="0000008A">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la siguiente figura se puede observar el diagrama de secuencia.</w:t>
      </w:r>
    </w:p>
    <w:p w:rsidR="00000000" w:rsidDel="00000000" w:rsidP="00000000" w:rsidRDefault="00000000" w:rsidRPr="00000000" w14:paraId="0000008B">
      <w:pPr>
        <w:spacing w:after="80" w:before="160" w:line="240" w:lineRule="auto"/>
        <w:ind w:firstLine="720"/>
        <w:jc w:val="center"/>
        <w:rPr>
          <w:i w:val="1"/>
          <w:iCs w:val="1"/>
          <w:color w:val="555555"/>
          <w:sz w:val="20"/>
          <w:szCs w:val="20"/>
        </w:rPr>
      </w:pPr>
      <w:r w:rsidDel="00000000" w:rsidR="00000000" w:rsidRPr="00000000">
        <w:rPr/>
        <w:drawing>
          <wp:inline distB="0" distT="0" distL="0" distR="0">
            <wp:extent cx="5524500" cy="24574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24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20" w:before="60" w:line="240" w:lineRule="auto"/>
        <w:ind w:firstLine="720"/>
        <w:jc w:val="center"/>
        <w:rPr>
          <w:rFonts w:ascii="Times New Roman" w:cs="Times New Roman" w:eastAsia="Times New Roman" w:hAnsi="Times New Roman"/>
          <w:b w:val="1"/>
          <w:bCs w:val="1"/>
          <w:sz w:val="24"/>
          <w:szCs w:val="24"/>
        </w:rPr>
      </w:pPr>
      <w:r w:rsidDel="00000000" w:rsidR="00000000" w:rsidRPr="00000000">
        <w:rPr>
          <w:i w:val="1"/>
          <w:iCs w:val="1"/>
          <w:color w:val="555555"/>
          <w:sz w:val="20"/>
          <w:szCs w:val="20"/>
          <w:rtl w:val="0"/>
        </w:rPr>
        <w:t xml:space="preserve">Figura 2. Diagrama de Secuencia del Pipeline RAG</w:t>
      </w:r>
      <w:r w:rsidDel="00000000" w:rsidR="00000000" w:rsidRPr="00000000">
        <w:rPr>
          <w:rtl w:val="0"/>
        </w:rPr>
      </w:r>
    </w:p>
    <w:p w:rsidR="00000000" w:rsidDel="00000000" w:rsidP="00000000" w:rsidRDefault="00000000" w:rsidRPr="00000000" w14:paraId="0000008D">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5roij2fhtb4" w:id="11"/>
      <w:bookmarkEnd w:id="11"/>
      <w:r w:rsidDel="00000000" w:rsidR="00000000" w:rsidRPr="00000000">
        <w:rPr>
          <w:rFonts w:ascii="Times New Roman" w:cs="Times New Roman" w:eastAsia="Times New Roman" w:hAnsi="Times New Roman"/>
          <w:b w:val="1"/>
          <w:bCs w:val="1"/>
          <w:sz w:val="24"/>
          <w:szCs w:val="24"/>
          <w:rtl w:val="0"/>
        </w:rPr>
        <w:t xml:space="preserve">Criterios de Calidad del RAG</w:t>
      </w:r>
    </w:p>
    <w:p w:rsidR="00000000" w:rsidDel="00000000" w:rsidP="00000000" w:rsidRDefault="00000000" w:rsidRPr="00000000" w14:paraId="0000008E">
      <w:pPr>
        <w:spacing w:after="200" w:before="200" w:line="360" w:lineRule="auto"/>
        <w:ind w:left="0" w:firstLine="720"/>
        <w:rPr>
          <w:b w:val="1"/>
          <w:bCs w:val="1"/>
          <w:color w:val="2e75b6"/>
          <w:sz w:val="28"/>
          <w:szCs w:val="28"/>
        </w:rPr>
      </w:pPr>
      <w:r w:rsidDel="00000000" w:rsidR="00000000" w:rsidRPr="00000000">
        <w:rPr>
          <w:rFonts w:ascii="Times New Roman" w:cs="Times New Roman" w:eastAsia="Times New Roman" w:hAnsi="Times New Roman"/>
          <w:sz w:val="24"/>
          <w:szCs w:val="24"/>
          <w:rtl w:val="0"/>
        </w:rPr>
        <w:t xml:space="preserve">Se tienen las siguientes métricas para medir los criterios de calidad.</w:t>
      </w:r>
      <w:r w:rsidDel="00000000" w:rsidR="00000000" w:rsidRPr="00000000">
        <w:rPr>
          <w:rtl w:val="0"/>
        </w:rPr>
      </w:r>
    </w:p>
    <w:tbl>
      <w:tblPr>
        <w:tblStyle w:val="Table3"/>
        <w:tblW w:w="834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865"/>
        <w:gridCol w:w="3525"/>
        <w:tblGridChange w:id="0">
          <w:tblGrid>
            <w:gridCol w:w="1950"/>
            <w:gridCol w:w="2865"/>
            <w:gridCol w:w="35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 de Medición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 segundos</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del backend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de similitud mínimo</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0.75 coseno</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configurable en el RAG Handler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respuestas con fuente </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85%</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por el equipo de QA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Alucinaciones detectadas</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periódica por QA con dataset de referencia</w:t>
            </w:r>
          </w:p>
        </w:tc>
      </w:tr>
    </w:tbl>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numPr>
          <w:ilvl w:val="0"/>
          <w:numId w:val="7"/>
        </w:numPr>
        <w:spacing w:after="200" w:before="20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Modelo de Datos</w:t>
      </w:r>
    </w:p>
    <w:p w:rsidR="00000000" w:rsidDel="00000000" w:rsidP="00000000" w:rsidRDefault="00000000" w:rsidRPr="00000000" w14:paraId="000000A0">
      <w:pPr>
        <w:spacing w:after="200" w:before="200" w:line="360" w:lineRule="auto"/>
        <w:ind w:left="720" w:firstLine="0"/>
        <w:rPr>
          <w:b w:val="1"/>
          <w:bCs w:val="1"/>
          <w:color w:val="2e75b6"/>
          <w:sz w:val="28"/>
          <w:szCs w:val="28"/>
        </w:rPr>
      </w:pPr>
      <w:r w:rsidDel="00000000" w:rsidR="00000000" w:rsidRPr="00000000">
        <w:rPr>
          <w:rFonts w:ascii="Times New Roman" w:cs="Times New Roman" w:eastAsia="Times New Roman" w:hAnsi="Times New Roman"/>
          <w:sz w:val="24"/>
          <w:szCs w:val="24"/>
          <w:rtl w:val="0"/>
        </w:rPr>
        <w:t xml:space="preserve">El modelo de datos relacional del sistema se encuentra detallado en el documento CACIF-DER.docx. La base de datos principal es PostgreSQL, complementada con una base vectorial para la búsqueda semántica del pipeline RAG.</w:t>
      </w:r>
      <w:r w:rsidDel="00000000" w:rsidR="00000000" w:rsidRPr="00000000">
        <w:rPr>
          <w:rtl w:val="0"/>
        </w:rPr>
      </w:r>
    </w:p>
    <w:p w:rsidR="00000000" w:rsidDel="00000000" w:rsidP="00000000" w:rsidRDefault="00000000" w:rsidRPr="00000000" w14:paraId="000000A1">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feagvtaleev" w:id="12"/>
      <w:bookmarkEnd w:id="12"/>
      <w:r w:rsidDel="00000000" w:rsidR="00000000" w:rsidRPr="00000000">
        <w:rPr>
          <w:rFonts w:ascii="Times New Roman" w:cs="Times New Roman" w:eastAsia="Times New Roman" w:hAnsi="Times New Roman"/>
          <w:b w:val="1"/>
          <w:bCs w:val="1"/>
          <w:sz w:val="24"/>
          <w:szCs w:val="24"/>
          <w:rtl w:val="0"/>
        </w:rPr>
        <w:t xml:space="preserve">Arquitectura de Infraestructura y Despliegue </w:t>
      </w:r>
    </w:p>
    <w:p w:rsidR="00000000" w:rsidDel="00000000" w:rsidP="00000000" w:rsidRDefault="00000000" w:rsidRPr="00000000" w14:paraId="000000A2">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j0gygqz4wktq" w:id="13"/>
      <w:bookmarkEnd w:id="13"/>
      <w:r w:rsidDel="00000000" w:rsidR="00000000" w:rsidRPr="00000000">
        <w:rPr>
          <w:rFonts w:ascii="Times New Roman" w:cs="Times New Roman" w:eastAsia="Times New Roman" w:hAnsi="Times New Roman"/>
          <w:b w:val="1"/>
          <w:bCs w:val="1"/>
          <w:sz w:val="24"/>
          <w:szCs w:val="24"/>
          <w:rtl w:val="0"/>
        </w:rPr>
        <w:t xml:space="preserve">Vista de Despliegue Cloud</w:t>
      </w:r>
    </w:p>
    <w:p w:rsidR="00000000" w:rsidDel="00000000" w:rsidP="00000000" w:rsidRDefault="00000000" w:rsidRPr="00000000" w14:paraId="000000A3">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MVP se utilizan servicios gratuitos o de bajo costo que permiten al equipo desplegar sin gestionar infraestructura compleja:</w:t>
      </w:r>
    </w:p>
    <w:p w:rsidR="00000000" w:rsidDel="00000000" w:rsidP="00000000" w:rsidRDefault="00000000" w:rsidRPr="00000000" w14:paraId="000000A4">
      <w:pPr>
        <w:spacing w:line="240" w:lineRule="auto"/>
        <w:rPr/>
      </w:pPr>
      <w:r w:rsidDel="00000000" w:rsidR="00000000" w:rsidRPr="00000000">
        <w:rPr>
          <w:rtl w:val="0"/>
        </w:rPr>
      </w:r>
    </w:p>
    <w:tbl>
      <w:tblPr>
        <w:tblStyle w:val="Table4"/>
        <w:tblW w:w="8260.511811023624"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9.9246207029"/>
        <w:gridCol w:w="2770.2935951603613"/>
        <w:gridCol w:w="2770.2935951603613"/>
        <w:tblGridChange w:id="0">
          <w:tblGrid>
            <w:gridCol w:w="2719.9246207029"/>
            <w:gridCol w:w="2770.2935951603613"/>
            <w:gridCol w:w="2770.2935951603613"/>
          </w:tblGrid>
        </w:tblGridChange>
      </w:tblGrid>
      <w:tr>
        <w:trPr>
          <w:cantSplit w:val="0"/>
          <w:trHeight w:val="229.98046875" w:hRule="atLeast"/>
          <w:tblHeader w:val="1"/>
        </w:trPr>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automático desde GitHub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 Docker; puede tener cold start ~30s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relacional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gestionado, hasta 500 MB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vectorial /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 3 índices, 50 MB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 Embeddings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 con límites de RPM </w:t>
            </w:r>
          </w:p>
        </w:tc>
      </w:tr>
    </w:tbl>
    <w:p w:rsidR="00000000" w:rsidDel="00000000" w:rsidP="00000000" w:rsidRDefault="00000000" w:rsidRPr="00000000" w14:paraId="000000B7">
      <w:pPr>
        <w:spacing w:after="20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se gestiona en GitHub. El pipeline CI/CD es básico: un push a la rama main dispara el redeploy automático en Vercel y Render. </w:t>
      </w:r>
    </w:p>
    <w:p w:rsidR="00000000" w:rsidDel="00000000" w:rsidP="00000000" w:rsidRDefault="00000000" w:rsidRPr="00000000" w14:paraId="000000B8">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Despliegue</w:t>
      </w:r>
    </w:p>
    <w:p w:rsidR="00000000" w:rsidDel="00000000" w:rsidP="00000000" w:rsidRDefault="00000000" w:rsidRPr="00000000" w14:paraId="000000B9">
      <w:pPr>
        <w:spacing w:after="80" w:before="1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516868</wp:posOffset>
            </wp:positionV>
            <wp:extent cx="5089688" cy="2018324"/>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89688" cy="2018324"/>
                    </a:xfrm>
                    <a:prstGeom prst="rect"/>
                    <a:ln/>
                  </pic:spPr>
                </pic:pic>
              </a:graphicData>
            </a:graphic>
          </wp:anchor>
        </w:drawing>
      </w:r>
    </w:p>
    <w:p w:rsidR="00000000" w:rsidDel="00000000" w:rsidP="00000000" w:rsidRDefault="00000000" w:rsidRPr="00000000" w14:paraId="000000BA">
      <w:pPr>
        <w:pStyle w:val="Heading1"/>
        <w:spacing w:after="200" w:before="200" w:line="360" w:lineRule="auto"/>
        <w:ind w:left="720" w:firstLine="0"/>
        <w:rPr>
          <w:rFonts w:ascii="Times New Roman" w:cs="Times New Roman" w:eastAsia="Times New Roman" w:hAnsi="Times New Roman"/>
          <w:b w:val="1"/>
          <w:bCs w:val="1"/>
          <w:sz w:val="24"/>
          <w:szCs w:val="24"/>
        </w:rPr>
      </w:pPr>
      <w:bookmarkStart w:colFirst="0" w:colLast="0" w:name="_st80z2ar8z86" w:id="14"/>
      <w:bookmarkEnd w:id="14"/>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120" w:before="60" w:line="240" w:lineRule="auto"/>
        <w:ind w:firstLine="720"/>
        <w:jc w:val="center"/>
        <w:rPr/>
      </w:pPr>
      <w:r w:rsidDel="00000000" w:rsidR="00000000" w:rsidRPr="00000000">
        <w:rPr>
          <w:i w:val="1"/>
          <w:iCs w:val="1"/>
          <w:color w:val="555555"/>
          <w:sz w:val="20"/>
          <w:szCs w:val="20"/>
          <w:rtl w:val="0"/>
        </w:rPr>
        <w:t xml:space="preserve">Figura 3. Topología de despliegue del MVP</w:t>
      </w:r>
      <w:r w:rsidDel="00000000" w:rsidR="00000000" w:rsidRPr="00000000">
        <w:rPr>
          <w:rtl w:val="0"/>
        </w:rPr>
      </w:r>
    </w:p>
    <w:p w:rsidR="00000000" w:rsidDel="00000000" w:rsidP="00000000" w:rsidRDefault="00000000" w:rsidRPr="00000000" w14:paraId="000000C2">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na180ykxihm1" w:id="15"/>
      <w:bookmarkEnd w:id="15"/>
      <w:r w:rsidDel="00000000" w:rsidR="00000000" w:rsidRPr="00000000">
        <w:rPr>
          <w:rFonts w:ascii="Times New Roman" w:cs="Times New Roman" w:eastAsia="Times New Roman" w:hAnsi="Times New Roman"/>
          <w:b w:val="1"/>
          <w:bCs w:val="1"/>
          <w:sz w:val="24"/>
          <w:szCs w:val="24"/>
          <w:rtl w:val="0"/>
        </w:rPr>
        <w:t xml:space="preserve">Arquitectura de Seguridad</w:t>
      </w:r>
    </w:p>
    <w:p w:rsidR="00000000" w:rsidDel="00000000" w:rsidP="00000000" w:rsidRDefault="00000000" w:rsidRPr="00000000" w14:paraId="000000C3">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ms885jydexiq" w:id="16"/>
      <w:bookmarkEnd w:id="16"/>
      <w:r w:rsidDel="00000000" w:rsidR="00000000" w:rsidRPr="00000000">
        <w:rPr>
          <w:rFonts w:ascii="Times New Roman" w:cs="Times New Roman" w:eastAsia="Times New Roman" w:hAnsi="Times New Roman"/>
          <w:b w:val="1"/>
          <w:bCs w:val="1"/>
          <w:sz w:val="24"/>
          <w:szCs w:val="24"/>
          <w:rtl w:val="0"/>
        </w:rPr>
        <w:t xml:space="preserve">Modelo de Seguridad del MVP</w:t>
      </w:r>
    </w:p>
    <w:p w:rsidR="00000000" w:rsidDel="00000000" w:rsidP="00000000" w:rsidRDefault="00000000" w:rsidRPr="00000000" w14:paraId="000000C4">
      <w:pPr>
        <w:spacing w:after="12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MVP se implementa un modelo de seguridad mínimo y funcional, adecuado al alcance universitario del proyecto:</w:t>
      </w:r>
    </w:p>
    <w:tbl>
      <w:tblPr>
        <w:tblStyle w:val="Table5"/>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000"/>
        <w:gridCol w:w="3405"/>
        <w:tblGridChange w:id="0">
          <w:tblGrid>
            <w:gridCol w:w="1905"/>
            <w:gridCol w:w="3000"/>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 / Estándar</w:t>
            </w:r>
            <w:r w:rsidDel="00000000" w:rsidR="00000000" w:rsidRPr="00000000">
              <w:rPr>
                <w:rtl w:val="0"/>
              </w:rPr>
            </w:r>
          </w:p>
        </w:tc>
      </w:tr>
      <w:tr>
        <w:trPr>
          <w:cantSplit w:val="0"/>
          <w:trHeight w:val="27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JWT para MVP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firmado con clave simétrica (HS256); SSO UNMSM planificado post-MVP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JWT en 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Depends valida el token en cada endpoint protegido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en tránsito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obligatorio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Provisto automáticamente por Vercel y Render (TLS)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sensibles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entorno (.env)</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en secrets de Render/Vercel; nunca en el repositorio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chat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Asociado al ID de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en Supabase lleva el user_id del estudiante</w:t>
            </w:r>
          </w:p>
        </w:tc>
      </w:tr>
    </w:tbl>
    <w:p w:rsidR="00000000" w:rsidDel="00000000" w:rsidP="00000000" w:rsidRDefault="00000000" w:rsidRPr="00000000" w14:paraId="000000D7">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g4aoatfb8bni" w:id="17"/>
      <w:bookmarkEnd w:id="17"/>
      <w:r w:rsidDel="00000000" w:rsidR="00000000" w:rsidRPr="00000000">
        <w:rPr>
          <w:rFonts w:ascii="Times New Roman" w:cs="Times New Roman" w:eastAsia="Times New Roman" w:hAnsi="Times New Roman"/>
          <w:b w:val="1"/>
          <w:bCs w:val="1"/>
          <w:sz w:val="24"/>
          <w:szCs w:val="24"/>
          <w:rtl w:val="0"/>
        </w:rPr>
        <w:t xml:space="preserve">Diagrama de Seguridad</w:t>
      </w:r>
    </w:p>
    <w:p w:rsidR="00000000" w:rsidDel="00000000" w:rsidP="00000000" w:rsidRDefault="00000000" w:rsidRPr="00000000" w14:paraId="000000D8">
      <w:pPr>
        <w:ind w:left="0" w:firstLine="0"/>
        <w:rPr/>
      </w:pPr>
      <w:r w:rsidDel="00000000" w:rsidR="00000000" w:rsidRPr="00000000">
        <w:rPr>
          <w:rtl w:val="0"/>
        </w:rPr>
        <w:tab/>
      </w:r>
      <w:r w:rsidDel="00000000" w:rsidR="00000000" w:rsidRPr="00000000">
        <w:rPr/>
        <w:drawing>
          <wp:inline distB="114300" distT="114300" distL="114300" distR="114300">
            <wp:extent cx="3648075" cy="38671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480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20" w:before="60" w:line="240" w:lineRule="auto"/>
        <w:ind w:firstLine="720"/>
        <w:jc w:val="center"/>
        <w:rPr/>
      </w:pPr>
      <w:r w:rsidDel="00000000" w:rsidR="00000000" w:rsidRPr="00000000">
        <w:rPr>
          <w:i w:val="1"/>
          <w:iCs w:val="1"/>
          <w:color w:val="555555"/>
          <w:sz w:val="20"/>
          <w:szCs w:val="20"/>
          <w:rtl w:val="0"/>
        </w:rPr>
        <w:t xml:space="preserve">Figura 4. Flujo de seguridad del sistema CACIF</w:t>
      </w:r>
      <w:r w:rsidDel="00000000" w:rsidR="00000000" w:rsidRPr="00000000">
        <w:rPr>
          <w:rtl w:val="0"/>
        </w:rPr>
      </w:r>
    </w:p>
    <w:p w:rsidR="00000000" w:rsidDel="00000000" w:rsidP="00000000" w:rsidRDefault="00000000" w:rsidRPr="00000000" w14:paraId="000000DA">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xr9jjw8raopp" w:id="18"/>
      <w:bookmarkEnd w:id="18"/>
      <w:r w:rsidDel="00000000" w:rsidR="00000000" w:rsidRPr="00000000">
        <w:rPr>
          <w:rFonts w:ascii="Times New Roman" w:cs="Times New Roman" w:eastAsia="Times New Roman" w:hAnsi="Times New Roman"/>
          <w:b w:val="1"/>
          <w:bCs w:val="1"/>
          <w:sz w:val="24"/>
          <w:szCs w:val="24"/>
          <w:rtl w:val="0"/>
        </w:rPr>
        <w:t xml:space="preserve">Atributos de Calidad y RNF</w:t>
      </w:r>
    </w:p>
    <w:p w:rsidR="00000000" w:rsidDel="00000000" w:rsidP="00000000" w:rsidRDefault="00000000" w:rsidRPr="00000000" w14:paraId="000000DB">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 calidad derivan directamente de los Requisitos No Funcionales definidos en los casos de uso:</w:t>
      </w:r>
    </w:p>
    <w:tbl>
      <w:tblPr>
        <w:tblStyle w:val="Table6"/>
        <w:tblW w:w="829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920"/>
        <w:gridCol w:w="2220"/>
        <w:gridCol w:w="2190"/>
        <w:tblGridChange w:id="0">
          <w:tblGrid>
            <w:gridCol w:w="1965"/>
            <w:gridCol w:w="1920"/>
            <w:gridCol w:w="2220"/>
            <w:gridCol w:w="21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Arquitectónica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&lt; 20 seg.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API con streaming; chunks pequeños en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manual con cronómetro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en demos y evaluaciones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 Render son servicios gestionados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con UptimeRobot (free)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usuarios concurrentes (demos)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stateless; suficiente para el MVP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para 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historial de cada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HTTPS + variables de entorno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del equipo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Firefox, Edge actuales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SPA con diseño responsivo (Tailwind)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manuales cross-browser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capacitación técnica previa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conversacional en lenguaje natural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UAT con compañeros</w:t>
            </w:r>
          </w:p>
        </w:tc>
      </w:tr>
    </w:tbl>
    <w:p w:rsidR="00000000" w:rsidDel="00000000" w:rsidP="00000000" w:rsidRDefault="00000000" w:rsidRPr="00000000" w14:paraId="000000F8">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adl5u0hh3qae" w:id="19"/>
      <w:bookmarkEnd w:id="19"/>
      <w:r w:rsidDel="00000000" w:rsidR="00000000" w:rsidRPr="00000000">
        <w:rPr>
          <w:rFonts w:ascii="Times New Roman" w:cs="Times New Roman" w:eastAsia="Times New Roman" w:hAnsi="Times New Roman"/>
          <w:b w:val="1"/>
          <w:bCs w:val="1"/>
          <w:sz w:val="24"/>
          <w:szCs w:val="24"/>
          <w:rtl w:val="0"/>
        </w:rPr>
        <w:t xml:space="preserve">Stack Tecnológico</w:t>
      </w:r>
      <w:r w:rsidDel="00000000" w:rsidR="00000000" w:rsidRPr="00000000">
        <w:rPr>
          <w:rtl w:val="0"/>
        </w:rPr>
      </w:r>
    </w:p>
    <w:tbl>
      <w:tblPr>
        <w:tblStyle w:val="Table7"/>
        <w:tblW w:w="829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875"/>
        <w:gridCol w:w="1620"/>
        <w:gridCol w:w="2880"/>
        <w:tblGridChange w:id="0">
          <w:tblGrid>
            <w:gridCol w:w="1920"/>
            <w:gridCol w:w="1875"/>
            <w:gridCol w:w="162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del chatbot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Estilos de interfaz responsiva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principal del servidor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API REST asíncrono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Orquestación del pipeline RAG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gemini-1.5-flash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texto y embeddings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vectorial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y consulta de embeddings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relacionales, historial y auditoría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 PDF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PyMuPDF / Unstructured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offline de reglamentos PDF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Empaquetado del servicio backend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y CI/CD del frontend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del backend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 + Playwright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E2E básicas</w:t>
            </w:r>
          </w:p>
        </w:tc>
      </w:tr>
    </w:tbl>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