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240" w:line="240" w:lineRule="auto"/>
        <w:jc w:val="center"/>
        <w:rPr>
          <w:rFonts w:ascii="Times New Roman" w:cs="Times New Roman" w:eastAsia="Times New Roman" w:hAnsi="Times New Roman"/>
          <w:b w:val="1"/>
          <w:bCs w:val="1"/>
          <w:sz w:val="48"/>
          <w:szCs w:val="48"/>
        </w:rPr>
      </w:pPr>
      <w:bookmarkStart w:colFirst="0" w:colLast="0" w:name="_hublhtxsijgl" w:id="0"/>
      <w:bookmarkEnd w:id="0"/>
      <w:r w:rsidDel="00000000" w:rsidR="00000000" w:rsidRPr="00000000">
        <w:rPr>
          <w:rFonts w:ascii="Times New Roman" w:cs="Times New Roman" w:eastAsia="Times New Roman" w:hAnsi="Times New Roman"/>
          <w:b w:val="1"/>
          <w:bCs w:val="1"/>
          <w:sz w:val="48"/>
          <w:szCs w:val="48"/>
          <w:rtl w:val="0"/>
        </w:rPr>
        <w:t xml:space="preserve">SISTEMA CACIF </w:t>
      </w:r>
    </w:p>
    <w:p w:rsidR="00000000" w:rsidDel="00000000" w:rsidP="00000000" w:rsidRDefault="00000000" w:rsidRPr="00000000" w14:paraId="00000002">
      <w:pPr>
        <w:spacing w:after="120" w:before="120" w:line="360" w:lineRule="auto"/>
        <w:jc w:val="both"/>
        <w:rPr>
          <w:rFonts w:ascii="Times New Roman" w:cs="Times New Roman" w:eastAsia="Times New Roman" w:hAnsi="Times New Roman"/>
          <w:sz w:val="24"/>
          <w:szCs w:val="24"/>
        </w:rPr>
      </w:pPr>
      <w:bookmarkStart w:colFirst="0" w:colLast="0" w:name="_gfmr1l9auu13" w:id="1"/>
      <w:bookmarkEnd w:id="1"/>
      <w:r w:rsidDel="00000000" w:rsidR="00000000" w:rsidRPr="00000000">
        <w:rPr>
          <w:rtl w:val="0"/>
        </w:rPr>
      </w:r>
    </w:p>
    <w:p w:rsidR="00000000" w:rsidDel="00000000" w:rsidP="00000000" w:rsidRDefault="00000000" w:rsidRPr="00000000" w14:paraId="00000003">
      <w:pPr>
        <w:pStyle w:val="Heading1"/>
        <w:spacing w:after="60" w:before="240" w:line="240" w:lineRule="auto"/>
        <w:jc w:val="center"/>
        <w:rPr>
          <w:rFonts w:ascii="Times New Roman" w:cs="Times New Roman" w:eastAsia="Times New Roman" w:hAnsi="Times New Roman"/>
          <w:b w:val="1"/>
          <w:bCs w:val="1"/>
          <w:sz w:val="44"/>
          <w:szCs w:val="44"/>
        </w:rPr>
      </w:pPr>
      <w:bookmarkStart w:colFirst="0" w:colLast="0" w:name="_7fy3js9s45ef" w:id="2"/>
      <w:bookmarkEnd w:id="2"/>
      <w:r w:rsidDel="00000000" w:rsidR="00000000" w:rsidRPr="00000000">
        <w:rPr>
          <w:rFonts w:ascii="Times New Roman" w:cs="Times New Roman" w:eastAsia="Times New Roman" w:hAnsi="Times New Roman"/>
          <w:b w:val="1"/>
          <w:bCs w:val="1"/>
          <w:sz w:val="44"/>
          <w:szCs w:val="44"/>
          <w:rtl w:val="0"/>
        </w:rPr>
        <w:t xml:space="preserve">Documento de Arquitectura</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after="120" w:before="12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Versión 1.0</w:t>
      </w:r>
    </w:p>
    <w:p w:rsidR="00000000" w:rsidDel="00000000" w:rsidP="00000000" w:rsidRDefault="00000000" w:rsidRPr="00000000" w14:paraId="0000000B">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Lima, Mayo del  2026</w:t>
      </w:r>
    </w:p>
    <w:p w:rsidR="00000000" w:rsidDel="00000000" w:rsidP="00000000" w:rsidRDefault="00000000" w:rsidRPr="00000000" w14:paraId="00000013">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20" w:before="120" w:line="36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del documento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Fabrizio Mantari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Cambio de proveedor de búsqueda vectorial: Azure AI Search reemplazado por AWS Bedrock Knowledge Bases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Andre Melendez Cava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before="200" w:line="360" w:lineRule="auto"/>
        <w:jc w:val="right"/>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Tabla de Contenidos</w:t>
      </w:r>
      <w:r w:rsidDel="00000000" w:rsidR="00000000" w:rsidRPr="00000000">
        <w:rPr>
          <w:rtl w:val="0"/>
        </w:rPr>
      </w:r>
    </w:p>
    <w:sdt>
      <w:sdtPr>
        <w:id w:val="227595757"/>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c46ljo55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d8w05igxi8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3exr4e0ei9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t9mnezfbo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Definiciones y Acrónimos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rja5lwqnfg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Descripción Arquitectónica General</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Capa de Presentación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Capa de Aplicación (Backend)</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Capa de IA y Datos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dbw1e80jzp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Flujo del Pipeline RAG</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30ivcbvvww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Descripción del Flujo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oqmcucfyi4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Diagrama de Secuencia</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5roij2fhtb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Criterios de Calidad del RAG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tibbagsnrh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Modelo de Datos</w:t>
            </w:r>
          </w:hyperlink>
          <w:hyperlink w:anchor="_3tibbagsnrh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feagvtalee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Arquitectura de Infraestructura y Despliegue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0gygqz4wkt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Vista de Despliegue Cloud</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a180ykxih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Arquitectura de Seguridad</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s885jydexi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Modelo de Seguridad del MVP</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aoatfb8bn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Diagrama de Seguridad</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r9jjw8raop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Atributos de Calidad y RNF</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dl5u0hh3qa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Stack Tecnológico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200" w:before="20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rjc46ljo558e" w:id="3"/>
      <w:bookmarkEnd w:id="3"/>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47">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zd8w05igxi8o" w:id="4"/>
      <w:bookmarkEnd w:id="4"/>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4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arquitectura de software del sistema CACIF (Chatbot para la Atención de Consultas de Investigaciones de la FISI). Su objetivo es definir los componentes técnicos, patrones de diseño, flujos de datos e infraestructura que soportan el sistema, sirviendo como referencia principal para el equipo de desarrollo, QA y operaciones.</w:t>
      </w:r>
      <w:r w:rsidDel="00000000" w:rsidR="00000000" w:rsidRPr="00000000">
        <w:rPr>
          <w:rtl w:val="0"/>
        </w:rPr>
      </w:r>
    </w:p>
    <w:p w:rsidR="00000000" w:rsidDel="00000000" w:rsidP="00000000" w:rsidRDefault="00000000" w:rsidRPr="00000000" w14:paraId="00000049">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3exr4e0ei9s" w:id="5"/>
      <w:bookmarkEnd w:id="5"/>
      <w:r w:rsidDel="00000000" w:rsidR="00000000" w:rsidRPr="00000000">
        <w:rPr>
          <w:rFonts w:ascii="Times New Roman" w:cs="Times New Roman" w:eastAsia="Times New Roman" w:hAnsi="Times New Roman"/>
          <w:b w:val="1"/>
          <w:bCs w:val="1"/>
          <w:sz w:val="24"/>
          <w:szCs w:val="24"/>
          <w:rtl w:val="0"/>
        </w:rPr>
        <w:t xml:space="preserve">Alcance</w:t>
      </w:r>
    </w:p>
    <w:p w:rsidR="00000000" w:rsidDel="00000000" w:rsidP="00000000" w:rsidRDefault="00000000" w:rsidRPr="00000000" w14:paraId="0000004A">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cubre la arquitectura de los siguientes módulos:</w:t>
      </w:r>
    </w:p>
    <w:p w:rsidR="00000000" w:rsidDel="00000000" w:rsidP="00000000" w:rsidRDefault="00000000" w:rsidRPr="00000000" w14:paraId="0000004B">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 Búsqueda y Selección de Grupo de Investigación</w:t>
      </w:r>
    </w:p>
    <w:p w:rsidR="00000000" w:rsidDel="00000000" w:rsidP="00000000" w:rsidRDefault="00000000" w:rsidRPr="00000000" w14:paraId="0000004C">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 Consulta y Postulación a Convocatorias</w:t>
      </w:r>
    </w:p>
    <w:p w:rsidR="00000000" w:rsidDel="00000000" w:rsidP="00000000" w:rsidRDefault="00000000" w:rsidRPr="00000000" w14:paraId="0000004D">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 Asesoría Administrativa para Tesis</w:t>
      </w:r>
    </w:p>
    <w:p w:rsidR="00000000" w:rsidDel="00000000" w:rsidP="00000000" w:rsidRDefault="00000000" w:rsidRPr="00000000" w14:paraId="0000004E">
      <w:pPr>
        <w:numPr>
          <w:ilvl w:val="0"/>
          <w:numId w:val="8"/>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 Consulta de Derechos y Marco Normativo</w:t>
      </w:r>
      <w:r w:rsidDel="00000000" w:rsidR="00000000" w:rsidRPr="00000000">
        <w:rPr>
          <w:rtl w:val="0"/>
        </w:rPr>
      </w:r>
    </w:p>
    <w:p w:rsidR="00000000" w:rsidDel="00000000" w:rsidP="00000000" w:rsidRDefault="00000000" w:rsidRPr="00000000" w14:paraId="0000004F">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kt9mnezfbogc" w:id="6"/>
      <w:bookmarkEnd w:id="6"/>
      <w:r w:rsidDel="00000000" w:rsidR="00000000" w:rsidRPr="00000000">
        <w:rPr>
          <w:rFonts w:ascii="Times New Roman" w:cs="Times New Roman" w:eastAsia="Times New Roman" w:hAnsi="Times New Roman"/>
          <w:b w:val="1"/>
          <w:bCs w:val="1"/>
          <w:sz w:val="24"/>
          <w:szCs w:val="24"/>
          <w:rtl w:val="0"/>
        </w:rPr>
        <w:t xml:space="preserve">Definiciones y Acrónimos</w:t>
      </w:r>
      <w:r w:rsidDel="00000000" w:rsidR="00000000" w:rsidRPr="00000000">
        <w:rPr>
          <w:rtl w:val="0"/>
        </w:rPr>
      </w:r>
    </w:p>
    <w:tbl>
      <w:tblPr>
        <w:tblStyle w:val="Table2"/>
        <w:tblW w:w="82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780"/>
        <w:tblGridChange w:id="0">
          <w:tblGrid>
            <w:gridCol w:w="1500"/>
            <w:gridCol w:w="6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60.0" w:type="dxa"/>
              <w:bottom w:w="80.0" w:type="dxa"/>
              <w:right w:w="160.0" w:type="dxa"/>
            </w:tcMa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fe2f3" w:val="clear"/>
            <w:tcMar>
              <w:top w:w="80.0" w:type="dxa"/>
              <w:left w:w="160.0" w:type="dxa"/>
              <w:bottom w:w="80.0" w:type="dxa"/>
              <w:right w:w="160.0" w:type="dxa"/>
            </w:tcMar>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para la Atención de Consultas de Investigaciones de la FISI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 — Arquitectura de IA que combina recuperación de documentos con generación de texto para respuestas precisas y fundamentadas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 — Modelo de lenguaje de gran escala (Google Gemini en este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 — Interfaz de programación de aplicaciones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UNMSM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Nacional Mayor de San Marcos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 Continuous Deployment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 Estándar para autenticación stateless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2">
            <w:pPr>
              <w:spacing w:line="360" w:lineRule="auto"/>
              <w:rPr/>
            </w:pPr>
            <w:r w:rsidDel="00000000" w:rsidR="00000000" w:rsidRPr="00000000">
              <w:rPr>
                <w:b w:val="1"/>
                <w:bCs w:val="1"/>
                <w:sz w:val="20"/>
                <w:szCs w:val="20"/>
                <w:rtl w:val="0"/>
              </w:rPr>
              <w:t xml:space="preserve">PWA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63">
            <w:pPr>
              <w:spacing w:line="360" w:lineRule="auto"/>
              <w:rPr/>
            </w:pPr>
            <w:r w:rsidDel="00000000" w:rsidR="00000000" w:rsidRPr="00000000">
              <w:rPr>
                <w:sz w:val="20"/>
                <w:szCs w:val="20"/>
                <w:rtl w:val="0"/>
              </w:rPr>
              <w:t xml:space="preserve">Progressive Web Application</w:t>
            </w:r>
            <w:r w:rsidDel="00000000" w:rsidR="00000000" w:rsidRPr="00000000">
              <w:rPr>
                <w:rtl w:val="0"/>
              </w:rPr>
            </w:r>
          </w:p>
        </w:tc>
      </w:tr>
    </w:tbl>
    <w:p w:rsidR="00000000" w:rsidDel="00000000" w:rsidP="00000000" w:rsidRDefault="00000000" w:rsidRPr="00000000" w14:paraId="00000064">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7rja5lwqnfgb" w:id="7"/>
      <w:bookmarkEnd w:id="7"/>
      <w:r w:rsidDel="00000000" w:rsidR="00000000" w:rsidRPr="00000000">
        <w:rPr>
          <w:rFonts w:ascii="Times New Roman" w:cs="Times New Roman" w:eastAsia="Times New Roman" w:hAnsi="Times New Roman"/>
          <w:b w:val="1"/>
          <w:bCs w:val="1"/>
          <w:sz w:val="24"/>
          <w:szCs w:val="24"/>
          <w:rtl w:val="0"/>
        </w:rPr>
        <w:t xml:space="preserve">Descripción Arquitectónica General</w:t>
      </w:r>
      <w:r w:rsidDel="00000000" w:rsidR="00000000" w:rsidRPr="00000000">
        <w:rPr>
          <w:rtl w:val="0"/>
        </w:rPr>
      </w:r>
    </w:p>
    <w:p w:rsidR="00000000" w:rsidDel="00000000" w:rsidP="00000000" w:rsidRDefault="00000000" w:rsidRPr="00000000" w14:paraId="00000065">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Estilo Arquitectónico</w:t>
      </w:r>
    </w:p>
    <w:p w:rsidR="00000000" w:rsidDel="00000000" w:rsidP="00000000" w:rsidRDefault="00000000" w:rsidRPr="00000000" w14:paraId="00000066">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CACIF adopta una arquitectura en capas (Layered Architecture) con un núcleo de procesamiento basado en el patrón RAG (Retrieval-Augmented Generation). Los principios rectores son:</w:t>
      </w:r>
    </w:p>
    <w:p w:rsidR="00000000" w:rsidDel="00000000" w:rsidP="00000000" w:rsidRDefault="00000000" w:rsidRPr="00000000" w14:paraId="00000067">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de responsabilidades por capas: Presentación, Aplicación, Inteligencia Artificial / Datos.</w:t>
      </w:r>
    </w:p>
    <w:p w:rsidR="00000000" w:rsidDel="00000000" w:rsidP="00000000" w:rsidRDefault="00000000" w:rsidRPr="00000000" w14:paraId="00000068">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cada módulo de caso de uso puede actualizarse independientemente.</w:t>
      </w:r>
    </w:p>
    <w:p w:rsidR="00000000" w:rsidDel="00000000" w:rsidP="00000000" w:rsidRDefault="00000000" w:rsidRPr="00000000" w14:paraId="00000069">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API: el backend no mantiene estado de sesión en memoria; usa JWT para autenticación stateless.</w:t>
      </w:r>
    </w:p>
    <w:p w:rsidR="00000000" w:rsidDel="00000000" w:rsidP="00000000" w:rsidRDefault="00000000" w:rsidRPr="00000000" w14:paraId="0000006A">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horizontal: los servicios de backend se despliegan en contenedores.</w:t>
      </w:r>
    </w:p>
    <w:p w:rsidR="00000000" w:rsidDel="00000000" w:rsidP="00000000" w:rsidRDefault="00000000" w:rsidRPr="00000000" w14:paraId="0000006B">
      <w:pPr>
        <w:numPr>
          <w:ilvl w:val="0"/>
          <w:numId w:val="3"/>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por capas: WAF en el edge, autenticación JWT, firewall interno y cifrado TLS.</w:t>
      </w:r>
    </w:p>
    <w:p w:rsidR="00000000" w:rsidDel="00000000" w:rsidP="00000000" w:rsidRDefault="00000000" w:rsidRPr="00000000" w14:paraId="0000006C">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Arquitectura en Capas</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314325</wp:posOffset>
            </wp:positionV>
            <wp:extent cx="5363578" cy="3472892"/>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63578" cy="3472892"/>
                    </a:xfrm>
                    <a:prstGeom prst="rect"/>
                    <a:ln/>
                  </pic:spPr>
                </pic:pic>
              </a:graphicData>
            </a:graphic>
          </wp:anchor>
        </w:drawing>
      </w:r>
    </w:p>
    <w:p w:rsidR="00000000" w:rsidDel="00000000" w:rsidP="00000000" w:rsidRDefault="00000000" w:rsidRPr="00000000" w14:paraId="00000074">
      <w:pPr>
        <w:spacing w:after="80" w:before="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00" w:before="200" w:line="360" w:lineRule="auto"/>
        <w:ind w:firstLine="720"/>
        <w:jc w:val="center"/>
        <w:rPr>
          <w:rFonts w:ascii="Times New Roman" w:cs="Times New Roman" w:eastAsia="Times New Roman" w:hAnsi="Times New Roman"/>
          <w:b w:val="1"/>
          <w:bCs w:val="1"/>
          <w:sz w:val="24"/>
          <w:szCs w:val="24"/>
        </w:rPr>
      </w:pPr>
      <w:r w:rsidDel="00000000" w:rsidR="00000000" w:rsidRPr="00000000">
        <w:rPr>
          <w:i w:val="1"/>
          <w:iCs w:val="1"/>
          <w:color w:val="555555"/>
          <w:sz w:val="20"/>
          <w:szCs w:val="20"/>
          <w:rtl w:val="0"/>
        </w:rPr>
        <w:t xml:space="preserve">Figura 1. Arquitectura en Capas del CACIF</w:t>
      </w:r>
      <w:r w:rsidDel="00000000" w:rsidR="00000000" w:rsidRPr="00000000">
        <w:rPr>
          <w:rtl w:val="0"/>
        </w:rPr>
      </w:r>
    </w:p>
    <w:p w:rsidR="00000000" w:rsidDel="00000000" w:rsidP="00000000" w:rsidRDefault="00000000" w:rsidRPr="00000000" w14:paraId="00000076">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 de Componentes por Capa</w:t>
      </w:r>
    </w:p>
    <w:p w:rsidR="00000000" w:rsidDel="00000000" w:rsidP="00000000" w:rsidRDefault="00000000" w:rsidRPr="00000000" w14:paraId="00000077">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Presentación</w:t>
      </w:r>
    </w:p>
    <w:p w:rsidR="00000000" w:rsidDel="00000000" w:rsidP="00000000" w:rsidRDefault="00000000" w:rsidRPr="00000000" w14:paraId="00000078">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SPA: interfaz de chat conversacional con soporte PWA.</w:t>
      </w:r>
    </w:p>
    <w:p w:rsidR="00000000" w:rsidDel="00000000" w:rsidP="00000000" w:rsidRDefault="00000000" w:rsidRPr="00000000" w14:paraId="00000079">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simulada (Mock JWT) para MVP. La integración real con UNMSM SSO vía OAuth 2.0 queda planificada para versiones posteriores. </w:t>
      </w:r>
      <w:r w:rsidDel="00000000" w:rsidR="00000000" w:rsidRPr="00000000">
        <w:rPr>
          <w:rtl w:val="0"/>
        </w:rPr>
      </w:r>
    </w:p>
    <w:p w:rsidR="00000000" w:rsidDel="00000000" w:rsidP="00000000" w:rsidRDefault="00000000" w:rsidRPr="00000000" w14:paraId="0000007A">
      <w:pPr>
        <w:numPr>
          <w:ilvl w:val="0"/>
          <w:numId w:val="1"/>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historial de conversación con la base de datos.</w:t>
      </w:r>
    </w:p>
    <w:p w:rsidR="00000000" w:rsidDel="00000000" w:rsidP="00000000" w:rsidRDefault="00000000" w:rsidRPr="00000000" w14:paraId="0000007B">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Aplicación (Backend)</w:t>
      </w:r>
    </w:p>
    <w:p w:rsidR="00000000" w:rsidDel="00000000" w:rsidP="00000000" w:rsidRDefault="00000000" w:rsidRPr="00000000" w14:paraId="0000007C">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en FastAPI: punto de entrada unificado, manejo de rutas, CORS, rate limiting.</w:t>
      </w:r>
    </w:p>
    <w:p w:rsidR="00000000" w:rsidDel="00000000" w:rsidP="00000000" w:rsidRDefault="00000000" w:rsidRPr="00000000" w14:paraId="0000007D">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Classifier: módulo que detecta el caso de uso (CU01–CU04) a partir del texto libre.</w:t>
      </w:r>
    </w:p>
    <w:p w:rsidR="00000000" w:rsidDel="00000000" w:rsidP="00000000" w:rsidRDefault="00000000" w:rsidRPr="00000000" w14:paraId="0000007E">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Manager: administra sesiones, historial y contexto de conversación multi-turno.</w:t>
      </w:r>
    </w:p>
    <w:p w:rsidR="00000000" w:rsidDel="00000000" w:rsidP="00000000" w:rsidRDefault="00000000" w:rsidRPr="00000000" w14:paraId="0000007F">
      <w:pPr>
        <w:numPr>
          <w:ilvl w:val="0"/>
          <w:numId w:val="2"/>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Middleware: valida tokens JWT para proteger los endpoints.</w:t>
      </w:r>
    </w:p>
    <w:p w:rsidR="00000000" w:rsidDel="00000000" w:rsidP="00000000" w:rsidRDefault="00000000" w:rsidRPr="00000000" w14:paraId="00000080">
      <w:pPr>
        <w:pStyle w:val="Heading3"/>
        <w:keepNext w:val="0"/>
        <w:keepLines w:val="0"/>
        <w:numPr>
          <w:ilvl w:val="0"/>
          <w:numId w:val="4"/>
        </w:numPr>
        <w:spacing w:after="200" w:before="200" w:line="360" w:lineRule="auto"/>
        <w:ind w:left="144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Capa de IA y Datos</w:t>
      </w:r>
    </w:p>
    <w:p w:rsidR="00000000" w:rsidDel="00000000" w:rsidP="00000000" w:rsidRDefault="00000000" w:rsidRPr="00000000" w14:paraId="00000081">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Google Gemini (vía API) para generación de respuestas en español académico.</w:t>
      </w:r>
    </w:p>
    <w:p w:rsidR="00000000" w:rsidDel="00000000" w:rsidP="00000000" w:rsidRDefault="00000000" w:rsidRPr="00000000" w14:paraId="00000082">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modelo de embeddings de Google para transformar consultas y documentos a vectores.</w:t>
      </w:r>
    </w:p>
    <w:p w:rsidR="00000000" w:rsidDel="00000000" w:rsidP="00000000" w:rsidRDefault="00000000" w:rsidRPr="00000000" w14:paraId="00000083">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Bedrock Knowledge Bases: almacena y consulta los embeddings de los reglamentos y documentos normativos de la FISI.</w:t>
      </w:r>
    </w:p>
    <w:p w:rsidR="00000000" w:rsidDel="00000000" w:rsidP="00000000" w:rsidRDefault="00000000" w:rsidRPr="00000000" w14:paraId="00000084">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(PostgreSQL): almacena historial de conversaciones y usuarios según el diagrama ER del proyecto.</w:t>
      </w:r>
    </w:p>
    <w:p w:rsidR="00000000" w:rsidDel="00000000" w:rsidP="00000000" w:rsidRDefault="00000000" w:rsidRPr="00000000" w14:paraId="00000085">
      <w:pPr>
        <w:numPr>
          <w:ilvl w:val="0"/>
          <w:numId w:val="6"/>
        </w:numP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normativa: PDFs procesados de reglamentos del VRI y FISI, ingestados previamente de forma offline.</w:t>
      </w:r>
      <w:r w:rsidDel="00000000" w:rsidR="00000000" w:rsidRPr="00000000">
        <w:rPr>
          <w:rtl w:val="0"/>
        </w:rPr>
      </w:r>
    </w:p>
    <w:p w:rsidR="00000000" w:rsidDel="00000000" w:rsidP="00000000" w:rsidRDefault="00000000" w:rsidRPr="00000000" w14:paraId="00000086">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idbw1e80jzp7" w:id="8"/>
      <w:bookmarkEnd w:id="8"/>
      <w:r w:rsidDel="00000000" w:rsidR="00000000" w:rsidRPr="00000000">
        <w:rPr>
          <w:rFonts w:ascii="Times New Roman" w:cs="Times New Roman" w:eastAsia="Times New Roman" w:hAnsi="Times New Roman"/>
          <w:b w:val="1"/>
          <w:bCs w:val="1"/>
          <w:sz w:val="24"/>
          <w:szCs w:val="24"/>
          <w:rtl w:val="0"/>
        </w:rPr>
        <w:t xml:space="preserve">Flujo del Pipeline RAG</w:t>
      </w:r>
    </w:p>
    <w:p w:rsidR="00000000" w:rsidDel="00000000" w:rsidP="00000000" w:rsidRDefault="00000000" w:rsidRPr="00000000" w14:paraId="00000087">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330ivcbvvww9" w:id="9"/>
      <w:bookmarkEnd w:id="9"/>
      <w:r w:rsidDel="00000000" w:rsidR="00000000" w:rsidRPr="00000000">
        <w:rPr>
          <w:rFonts w:ascii="Times New Roman" w:cs="Times New Roman" w:eastAsia="Times New Roman" w:hAnsi="Times New Roman"/>
          <w:b w:val="1"/>
          <w:bCs w:val="1"/>
          <w:sz w:val="24"/>
          <w:szCs w:val="24"/>
          <w:rtl w:val="0"/>
        </w:rPr>
        <w:t xml:space="preserve">Descripción del Flujo</w:t>
      </w:r>
    </w:p>
    <w:p w:rsidR="00000000" w:rsidDel="00000000" w:rsidP="00000000" w:rsidRDefault="00000000" w:rsidRPr="00000000" w14:paraId="0000008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RAG es el núcleo inteligente del CACIF. Cuando el estudiante realiza una consulta, el sistema sigue estos pasos:</w:t>
      </w:r>
    </w:p>
    <w:p w:rsidR="00000000" w:rsidDel="00000000" w:rsidP="00000000" w:rsidRDefault="00000000" w:rsidRPr="00000000" w14:paraId="00000089">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frontend envía el mensaje al backend vía POST /chat.</w:t>
      </w:r>
    </w:p>
    <w:p w:rsidR="00000000" w:rsidDel="00000000" w:rsidP="00000000" w:rsidRDefault="00000000" w:rsidRPr="00000000" w14:paraId="0000008A">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Auth Middleware valida el JWT; si es inválido retorna 401.</w:t>
      </w:r>
    </w:p>
    <w:p w:rsidR="00000000" w:rsidDel="00000000" w:rsidP="00000000" w:rsidRDefault="00000000" w:rsidRPr="00000000" w14:paraId="0000008B">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Intent Classifier identifica el caso de uso (CU01–CU04).</w:t>
      </w:r>
    </w:p>
    <w:p w:rsidR="00000000" w:rsidDel="00000000" w:rsidP="00000000" w:rsidRDefault="00000000" w:rsidRPr="00000000" w14:paraId="0000008C">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 genera el embedding de la consulta usando el modelo de Google.</w:t>
      </w:r>
    </w:p>
    <w:p w:rsidR="00000000" w:rsidDel="00000000" w:rsidP="00000000" w:rsidRDefault="00000000" w:rsidRPr="00000000" w14:paraId="0000008D">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AWS Bedrock Knowledge Bases recupera los chunks más relevantes de la base normativa (top-k por similitud coseno, umbral &gt; 0.75).</w:t>
      </w:r>
    </w:p>
    <w:p w:rsidR="00000000" w:rsidDel="00000000" w:rsidP="00000000" w:rsidRDefault="00000000" w:rsidRPr="00000000" w14:paraId="0000008E">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 construye el prompt aumentado con los chunks recuperados y se envía a Gemini.</w:t>
      </w:r>
    </w:p>
    <w:p w:rsidR="00000000" w:rsidDel="00000000" w:rsidP="00000000" w:rsidRDefault="00000000" w:rsidRPr="00000000" w14:paraId="0000008F">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Gemini genera la respuesta en español con citas a las fuentes normativas.</w:t>
      </w:r>
    </w:p>
    <w:p w:rsidR="00000000" w:rsidDel="00000000" w:rsidP="00000000" w:rsidRDefault="00000000" w:rsidRPr="00000000" w14:paraId="00000090">
      <w:pPr>
        <w:numPr>
          <w:ilvl w:val="0"/>
          <w:numId w:val="5"/>
        </w:numPr>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La respuesta se retorna al frontend y el historial se guarda en Supabase.</w:t>
      </w:r>
    </w:p>
    <w:p w:rsidR="00000000" w:rsidDel="00000000" w:rsidP="00000000" w:rsidRDefault="00000000" w:rsidRPr="00000000" w14:paraId="00000091">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2oqmcucfyi41" w:id="10"/>
      <w:bookmarkEnd w:id="10"/>
      <w:r w:rsidDel="00000000" w:rsidR="00000000" w:rsidRPr="00000000">
        <w:rPr>
          <w:rFonts w:ascii="Times New Roman" w:cs="Times New Roman" w:eastAsia="Times New Roman" w:hAnsi="Times New Roman"/>
          <w:b w:val="1"/>
          <w:bCs w:val="1"/>
          <w:sz w:val="24"/>
          <w:szCs w:val="24"/>
          <w:rtl w:val="0"/>
        </w:rPr>
        <w:t xml:space="preserve">Diagrama de Secuencia</w:t>
      </w:r>
    </w:p>
    <w:p w:rsidR="00000000" w:rsidDel="00000000" w:rsidP="00000000" w:rsidRDefault="00000000" w:rsidRPr="00000000" w14:paraId="00000092">
      <w:pPr>
        <w:spacing w:after="200" w:before="20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la siguiente figura se puede observar el diagrama de secuencia.</w:t>
      </w:r>
    </w:p>
    <w:p w:rsidR="00000000" w:rsidDel="00000000" w:rsidP="00000000" w:rsidRDefault="00000000" w:rsidRPr="00000000" w14:paraId="00000093">
      <w:pPr>
        <w:spacing w:after="80" w:before="160" w:line="240" w:lineRule="auto"/>
        <w:ind w:firstLine="720"/>
        <w:jc w:val="center"/>
        <w:rPr>
          <w:i w:val="1"/>
          <w:iCs w:val="1"/>
          <w:color w:val="555555"/>
          <w:sz w:val="20"/>
          <w:szCs w:val="20"/>
        </w:rPr>
      </w:pPr>
      <w:r w:rsidDel="00000000" w:rsidR="00000000" w:rsidRPr="00000000">
        <w:rPr/>
        <w:drawing>
          <wp:inline distB="0" distT="0" distL="0" distR="0">
            <wp:extent cx="5524500" cy="24574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before="60" w:line="240" w:lineRule="auto"/>
        <w:ind w:firstLine="720"/>
        <w:jc w:val="center"/>
        <w:rPr>
          <w:i w:val="1"/>
          <w:iCs w:val="1"/>
          <w:color w:val="555555"/>
          <w:sz w:val="20"/>
          <w:szCs w:val="20"/>
        </w:rPr>
      </w:pPr>
      <w:r w:rsidDel="00000000" w:rsidR="00000000" w:rsidRPr="00000000">
        <w:rPr>
          <w:i w:val="1"/>
          <w:iCs w:val="1"/>
          <w:color w:val="555555"/>
          <w:sz w:val="20"/>
          <w:szCs w:val="20"/>
          <w:rtl w:val="0"/>
        </w:rPr>
        <w:t xml:space="preserve">Figura 2. Diagrama de Secuencia del Pipeline RAG</w:t>
      </w:r>
    </w:p>
    <w:p w:rsidR="00000000" w:rsidDel="00000000" w:rsidP="00000000" w:rsidRDefault="00000000" w:rsidRPr="00000000" w14:paraId="00000095">
      <w:pPr>
        <w:spacing w:after="120" w:before="60" w:line="240" w:lineRule="auto"/>
        <w:ind w:firstLine="720"/>
        <w:jc w:val="center"/>
        <w:rPr>
          <w:i w:val="1"/>
          <w:iCs w:val="1"/>
          <w:color w:val="555555"/>
          <w:sz w:val="20"/>
          <w:szCs w:val="20"/>
        </w:rPr>
      </w:pPr>
      <w:r w:rsidDel="00000000" w:rsidR="00000000" w:rsidRPr="00000000">
        <w:rPr>
          <w:rtl w:val="0"/>
        </w:rPr>
      </w:r>
    </w:p>
    <w:p w:rsidR="00000000" w:rsidDel="00000000" w:rsidP="00000000" w:rsidRDefault="00000000" w:rsidRPr="00000000" w14:paraId="00000096">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5roij2fhtb4" w:id="11"/>
      <w:bookmarkEnd w:id="11"/>
      <w:r w:rsidDel="00000000" w:rsidR="00000000" w:rsidRPr="00000000">
        <w:rPr>
          <w:rFonts w:ascii="Times New Roman" w:cs="Times New Roman" w:eastAsia="Times New Roman" w:hAnsi="Times New Roman"/>
          <w:b w:val="1"/>
          <w:bCs w:val="1"/>
          <w:sz w:val="24"/>
          <w:szCs w:val="24"/>
          <w:rtl w:val="0"/>
        </w:rPr>
        <w:t xml:space="preserve">Criterios de Calidad del RAG</w:t>
      </w:r>
    </w:p>
    <w:p w:rsidR="00000000" w:rsidDel="00000000" w:rsidP="00000000" w:rsidRDefault="00000000" w:rsidRPr="00000000" w14:paraId="00000097">
      <w:pPr>
        <w:spacing w:after="200" w:before="200" w:line="360" w:lineRule="auto"/>
        <w:ind w:left="0" w:firstLine="720"/>
        <w:rPr>
          <w:b w:val="1"/>
          <w:bCs w:val="1"/>
          <w:color w:val="2e75b6"/>
          <w:sz w:val="28"/>
          <w:szCs w:val="28"/>
        </w:rPr>
      </w:pPr>
      <w:r w:rsidDel="00000000" w:rsidR="00000000" w:rsidRPr="00000000">
        <w:rPr>
          <w:rFonts w:ascii="Times New Roman" w:cs="Times New Roman" w:eastAsia="Times New Roman" w:hAnsi="Times New Roman"/>
          <w:sz w:val="24"/>
          <w:szCs w:val="24"/>
          <w:rtl w:val="0"/>
        </w:rPr>
        <w:t xml:space="preserve">Se tienen las siguientes métricas para medir los criterios de calidad.</w:t>
      </w:r>
      <w:r w:rsidDel="00000000" w:rsidR="00000000" w:rsidRPr="00000000">
        <w:rPr>
          <w:rtl w:val="0"/>
        </w:rPr>
      </w:r>
    </w:p>
    <w:tbl>
      <w:tblPr>
        <w:tblStyle w:val="Table3"/>
        <w:tblW w:w="834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865"/>
        <w:gridCol w:w="3525"/>
        <w:tblGridChange w:id="0">
          <w:tblGrid>
            <w:gridCol w:w="1950"/>
            <w:gridCol w:w="2865"/>
            <w:gridCol w:w="35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 de Medición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20 segundos</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del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de similitud mínimo</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0.75 coseno</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configurable en el RAG Handler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respuestas con fuente </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85%</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por el equipo de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Alucinaciones detectadas</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w:t>
            </w:r>
          </w:p>
        </w:tc>
        <w:tc>
          <w:tcPr>
            <w:tcBorders>
              <w:top w:color="cccccc" w:space="0" w:sz="4" w:val="single"/>
              <w:left w:color="cccccc" w:space="0" w:sz="4" w:val="single"/>
              <w:bottom w:color="cccccc" w:space="0" w:sz="4" w:val="single"/>
              <w:right w:color="cccccc" w:space="0" w:sz="4" w:val="single"/>
            </w:tcBorders>
            <w:tcMar>
              <w:top w:w="60.0" w:type="dxa"/>
              <w:left w:w="160.0" w:type="dxa"/>
              <w:bottom w:w="60.0" w:type="dxa"/>
              <w:right w:w="160.0" w:type="dxa"/>
            </w:tcMa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periódica por QA con dataset de referencia</w:t>
            </w:r>
          </w:p>
        </w:tc>
      </w:tr>
    </w:tbl>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3tibbagsnrh3" w:id="12"/>
      <w:bookmarkEnd w:id="12"/>
      <w:r w:rsidDel="00000000" w:rsidR="00000000" w:rsidRPr="00000000">
        <w:rPr>
          <w:rFonts w:ascii="Times New Roman" w:cs="Times New Roman" w:eastAsia="Times New Roman" w:hAnsi="Times New Roman"/>
          <w:b w:val="1"/>
          <w:bCs w:val="1"/>
          <w:sz w:val="24"/>
          <w:szCs w:val="24"/>
          <w:rtl w:val="0"/>
        </w:rPr>
        <w:t xml:space="preserve">Modelo de Datos</w:t>
      </w:r>
    </w:p>
    <w:p w:rsidR="00000000" w:rsidDel="00000000" w:rsidP="00000000" w:rsidRDefault="00000000" w:rsidRPr="00000000" w14:paraId="000000A9">
      <w:pPr>
        <w:spacing w:after="200" w:before="200" w:line="360" w:lineRule="auto"/>
        <w:ind w:left="720" w:firstLine="0"/>
        <w:rPr>
          <w:b w:val="1"/>
          <w:bCs w:val="1"/>
          <w:color w:val="2e75b6"/>
          <w:sz w:val="28"/>
          <w:szCs w:val="28"/>
        </w:rPr>
      </w:pPr>
      <w:r w:rsidDel="00000000" w:rsidR="00000000" w:rsidRPr="00000000">
        <w:rPr>
          <w:rFonts w:ascii="Times New Roman" w:cs="Times New Roman" w:eastAsia="Times New Roman" w:hAnsi="Times New Roman"/>
          <w:sz w:val="24"/>
          <w:szCs w:val="24"/>
          <w:rtl w:val="0"/>
        </w:rPr>
        <w:t xml:space="preserve">El modelo de datos relacional del sistema se encuentra detallado en el documento CACIF-MD.docx. La base de datos principal es PostgreSQL, complementada con una base vectorial para la búsqueda semántica del pipeline RAG.</w:t>
      </w:r>
      <w:r w:rsidDel="00000000" w:rsidR="00000000" w:rsidRPr="00000000">
        <w:rPr>
          <w:rtl w:val="0"/>
        </w:rPr>
      </w:r>
    </w:p>
    <w:p w:rsidR="00000000" w:rsidDel="00000000" w:rsidP="00000000" w:rsidRDefault="00000000" w:rsidRPr="00000000" w14:paraId="000000AA">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feagvtaleev" w:id="13"/>
      <w:bookmarkEnd w:id="13"/>
      <w:r w:rsidDel="00000000" w:rsidR="00000000" w:rsidRPr="00000000">
        <w:rPr>
          <w:rFonts w:ascii="Times New Roman" w:cs="Times New Roman" w:eastAsia="Times New Roman" w:hAnsi="Times New Roman"/>
          <w:b w:val="1"/>
          <w:bCs w:val="1"/>
          <w:sz w:val="24"/>
          <w:szCs w:val="24"/>
          <w:rtl w:val="0"/>
        </w:rPr>
        <w:t xml:space="preserve">Arquitectura de Infraestructura y Despliegue </w:t>
      </w:r>
    </w:p>
    <w:p w:rsidR="00000000" w:rsidDel="00000000" w:rsidP="00000000" w:rsidRDefault="00000000" w:rsidRPr="00000000" w14:paraId="000000AB">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j0gygqz4wktq" w:id="14"/>
      <w:bookmarkEnd w:id="14"/>
      <w:r w:rsidDel="00000000" w:rsidR="00000000" w:rsidRPr="00000000">
        <w:rPr>
          <w:rFonts w:ascii="Times New Roman" w:cs="Times New Roman" w:eastAsia="Times New Roman" w:hAnsi="Times New Roman"/>
          <w:b w:val="1"/>
          <w:bCs w:val="1"/>
          <w:sz w:val="24"/>
          <w:szCs w:val="24"/>
          <w:rtl w:val="0"/>
        </w:rPr>
        <w:t xml:space="preserve">Vista de Despliegue Cloud</w:t>
      </w:r>
    </w:p>
    <w:p w:rsidR="00000000" w:rsidDel="00000000" w:rsidP="00000000" w:rsidRDefault="00000000" w:rsidRPr="00000000" w14:paraId="000000AC">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MVP se utilizan servicios gratuitos o de bajo costo que permiten al equipo desplegar sin gestionar infraestructura compleja:</w:t>
      </w:r>
    </w:p>
    <w:p w:rsidR="00000000" w:rsidDel="00000000" w:rsidP="00000000" w:rsidRDefault="00000000" w:rsidRPr="00000000" w14:paraId="000000AD">
      <w:pPr>
        <w:spacing w:line="240" w:lineRule="auto"/>
        <w:rPr/>
      </w:pPr>
      <w:r w:rsidDel="00000000" w:rsidR="00000000" w:rsidRPr="00000000">
        <w:rPr>
          <w:rtl w:val="0"/>
        </w:rPr>
      </w:r>
    </w:p>
    <w:tbl>
      <w:tblPr>
        <w:tblStyle w:val="Table4"/>
        <w:tblW w:w="8260.511811023624"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9.9246207029"/>
        <w:gridCol w:w="2770.2935951603613"/>
        <w:gridCol w:w="2770.2935951603613"/>
        <w:tblGridChange w:id="0">
          <w:tblGrid>
            <w:gridCol w:w="2719.9246207029"/>
            <w:gridCol w:w="2770.2935951603613"/>
            <w:gridCol w:w="2770.2935951603613"/>
          </w:tblGrid>
        </w:tblGridChange>
      </w:tblGrid>
      <w:tr>
        <w:trPr>
          <w:cantSplit w:val="0"/>
          <w:trHeight w:val="229.98046875" w:hRule="atLeast"/>
          <w:tblHeader w:val="1"/>
        </w:trPr>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automático desde GitHub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 Docker; puede tener cold start ~30s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relacional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gestionado, hasta 500 MB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vectorial /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Bedrock Knowledge Bases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 disponible; pago por uso en producción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 Embeddings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tier con límites de RPM </w:t>
            </w:r>
          </w:p>
        </w:tc>
      </w:tr>
    </w:tbl>
    <w:p w:rsidR="00000000" w:rsidDel="00000000" w:rsidP="00000000" w:rsidRDefault="00000000" w:rsidRPr="00000000" w14:paraId="000000C0">
      <w:pPr>
        <w:spacing w:after="200" w:before="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fuente se gestiona en GitHub. El pipeline CI/CD es básico: un push a la rama main dispara el redeploy automático en Vercel y Render. </w:t>
      </w:r>
    </w:p>
    <w:p w:rsidR="00000000" w:rsidDel="00000000" w:rsidP="00000000" w:rsidRDefault="00000000" w:rsidRPr="00000000" w14:paraId="000000C1">
      <w:pPr>
        <w:numPr>
          <w:ilvl w:val="1"/>
          <w:numId w:val="7"/>
        </w:numPr>
        <w:spacing w:after="200" w:before="200"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 de Despliegue</w:t>
      </w:r>
    </w:p>
    <w:p w:rsidR="00000000" w:rsidDel="00000000" w:rsidP="00000000" w:rsidRDefault="00000000" w:rsidRPr="00000000" w14:paraId="000000C2">
      <w:pPr>
        <w:spacing w:after="80" w:before="1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516868</wp:posOffset>
            </wp:positionV>
            <wp:extent cx="5089688" cy="2018324"/>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89688" cy="2018324"/>
                    </a:xfrm>
                    <a:prstGeom prst="rect"/>
                    <a:ln/>
                  </pic:spPr>
                </pic:pic>
              </a:graphicData>
            </a:graphic>
          </wp:anchor>
        </w:drawing>
      </w:r>
    </w:p>
    <w:p w:rsidR="00000000" w:rsidDel="00000000" w:rsidP="00000000" w:rsidRDefault="00000000" w:rsidRPr="00000000" w14:paraId="000000C3">
      <w:pPr>
        <w:pStyle w:val="Heading1"/>
        <w:spacing w:after="200" w:before="200" w:line="360" w:lineRule="auto"/>
        <w:ind w:left="720" w:firstLine="0"/>
        <w:rPr>
          <w:rFonts w:ascii="Times New Roman" w:cs="Times New Roman" w:eastAsia="Times New Roman" w:hAnsi="Times New Roman"/>
          <w:b w:val="1"/>
          <w:bCs w:val="1"/>
          <w:sz w:val="24"/>
          <w:szCs w:val="24"/>
        </w:rPr>
      </w:pPr>
      <w:bookmarkStart w:colFirst="0" w:colLast="0" w:name="_st80z2ar8z86" w:id="15"/>
      <w:bookmarkEnd w:id="15"/>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120" w:before="60" w:line="240" w:lineRule="auto"/>
        <w:ind w:firstLine="720"/>
        <w:jc w:val="center"/>
        <w:rPr/>
      </w:pPr>
      <w:r w:rsidDel="00000000" w:rsidR="00000000" w:rsidRPr="00000000">
        <w:rPr>
          <w:i w:val="1"/>
          <w:iCs w:val="1"/>
          <w:color w:val="555555"/>
          <w:sz w:val="20"/>
          <w:szCs w:val="20"/>
          <w:rtl w:val="0"/>
        </w:rPr>
        <w:t xml:space="preserve">Figura 3. Topología de despliegue del MVP</w:t>
      </w:r>
      <w:r w:rsidDel="00000000" w:rsidR="00000000" w:rsidRPr="00000000">
        <w:rPr>
          <w:rtl w:val="0"/>
        </w:rPr>
      </w:r>
    </w:p>
    <w:p w:rsidR="00000000" w:rsidDel="00000000" w:rsidP="00000000" w:rsidRDefault="00000000" w:rsidRPr="00000000" w14:paraId="000000CB">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na180ykxihm1" w:id="16"/>
      <w:bookmarkEnd w:id="16"/>
      <w:r w:rsidDel="00000000" w:rsidR="00000000" w:rsidRPr="00000000">
        <w:rPr>
          <w:rFonts w:ascii="Times New Roman" w:cs="Times New Roman" w:eastAsia="Times New Roman" w:hAnsi="Times New Roman"/>
          <w:b w:val="1"/>
          <w:bCs w:val="1"/>
          <w:sz w:val="24"/>
          <w:szCs w:val="24"/>
          <w:rtl w:val="0"/>
        </w:rPr>
        <w:t xml:space="preserve">Arquitectura de Seguridad</w:t>
      </w:r>
    </w:p>
    <w:p w:rsidR="00000000" w:rsidDel="00000000" w:rsidP="00000000" w:rsidRDefault="00000000" w:rsidRPr="00000000" w14:paraId="000000CC">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ms885jydexiq" w:id="17"/>
      <w:bookmarkEnd w:id="17"/>
      <w:r w:rsidDel="00000000" w:rsidR="00000000" w:rsidRPr="00000000">
        <w:rPr>
          <w:rFonts w:ascii="Times New Roman" w:cs="Times New Roman" w:eastAsia="Times New Roman" w:hAnsi="Times New Roman"/>
          <w:b w:val="1"/>
          <w:bCs w:val="1"/>
          <w:sz w:val="24"/>
          <w:szCs w:val="24"/>
          <w:rtl w:val="0"/>
        </w:rPr>
        <w:t xml:space="preserve">Modelo de Seguridad del MVP</w:t>
      </w:r>
    </w:p>
    <w:p w:rsidR="00000000" w:rsidDel="00000000" w:rsidP="00000000" w:rsidRDefault="00000000" w:rsidRPr="00000000" w14:paraId="000000CD">
      <w:pPr>
        <w:spacing w:after="12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MVP se implementa un modelo de seguridad mínimo y funcional, adecuado al alcance universitario del proyecto:</w:t>
      </w:r>
    </w:p>
    <w:tbl>
      <w:tblPr>
        <w:tblStyle w:val="Table5"/>
        <w:tblW w:w="831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000"/>
        <w:gridCol w:w="3405"/>
        <w:tblGridChange w:id="0">
          <w:tblGrid>
            <w:gridCol w:w="1905"/>
            <w:gridCol w:w="300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 / Estándar</w:t>
            </w:r>
            <w:r w:rsidDel="00000000" w:rsidR="00000000" w:rsidRPr="00000000">
              <w:rPr>
                <w:rtl w:val="0"/>
              </w:rPr>
            </w:r>
          </w:p>
        </w:tc>
      </w:tr>
      <w:tr>
        <w:trPr>
          <w:cantSplit w:val="0"/>
          <w:trHeight w:val="274.980468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JWT para MVP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firmado con clave simétrica (HS256); SSO UNMSM planificado post-MVP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JWT en 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Depends valida el token en cada endpoint protegido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en tránsito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obligatorio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Provisto automáticamente por Vercel y Render (TLS)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sensibles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de entorno (.env)</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en secrets de Render/Vercel; nunca en el repositorio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chat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Asociado al ID de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en Supabase lleva el user_id del estudiante</w:t>
            </w:r>
          </w:p>
        </w:tc>
      </w:tr>
    </w:tbl>
    <w:p w:rsidR="00000000" w:rsidDel="00000000" w:rsidP="00000000" w:rsidRDefault="00000000" w:rsidRPr="00000000" w14:paraId="000000E0">
      <w:pPr>
        <w:pStyle w:val="Heading2"/>
        <w:numPr>
          <w:ilvl w:val="1"/>
          <w:numId w:val="7"/>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g4aoatfb8bni" w:id="18"/>
      <w:bookmarkEnd w:id="18"/>
      <w:r w:rsidDel="00000000" w:rsidR="00000000" w:rsidRPr="00000000">
        <w:rPr>
          <w:rFonts w:ascii="Times New Roman" w:cs="Times New Roman" w:eastAsia="Times New Roman" w:hAnsi="Times New Roman"/>
          <w:b w:val="1"/>
          <w:bCs w:val="1"/>
          <w:sz w:val="24"/>
          <w:szCs w:val="24"/>
          <w:rtl w:val="0"/>
        </w:rPr>
        <w:t xml:space="preserve">Diagrama de Seguridad</w:t>
      </w:r>
    </w:p>
    <w:p w:rsidR="00000000" w:rsidDel="00000000" w:rsidP="00000000" w:rsidRDefault="00000000" w:rsidRPr="00000000" w14:paraId="000000E1">
      <w:pPr>
        <w:ind w:left="0" w:firstLine="0"/>
        <w:rPr/>
      </w:pPr>
      <w:r w:rsidDel="00000000" w:rsidR="00000000" w:rsidRPr="00000000">
        <w:rPr>
          <w:rtl w:val="0"/>
        </w:rPr>
        <w:tab/>
      </w:r>
      <w:r w:rsidDel="00000000" w:rsidR="00000000" w:rsidRPr="00000000">
        <w:rPr/>
        <w:drawing>
          <wp:inline distB="114300" distT="114300" distL="114300" distR="114300">
            <wp:extent cx="3648075" cy="38671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480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before="60" w:line="240" w:lineRule="auto"/>
        <w:ind w:firstLine="720"/>
        <w:jc w:val="center"/>
        <w:rPr/>
      </w:pPr>
      <w:r w:rsidDel="00000000" w:rsidR="00000000" w:rsidRPr="00000000">
        <w:rPr>
          <w:i w:val="1"/>
          <w:iCs w:val="1"/>
          <w:color w:val="555555"/>
          <w:sz w:val="20"/>
          <w:szCs w:val="20"/>
          <w:rtl w:val="0"/>
        </w:rPr>
        <w:t xml:space="preserve">Figura 4. Flujo de seguridad del sistema CACIF</w:t>
      </w:r>
      <w:r w:rsidDel="00000000" w:rsidR="00000000" w:rsidRPr="00000000">
        <w:rPr>
          <w:rtl w:val="0"/>
        </w:rPr>
      </w:r>
    </w:p>
    <w:p w:rsidR="00000000" w:rsidDel="00000000" w:rsidP="00000000" w:rsidRDefault="00000000" w:rsidRPr="00000000" w14:paraId="000000E3">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xr9jjw8raopp" w:id="19"/>
      <w:bookmarkEnd w:id="19"/>
      <w:r w:rsidDel="00000000" w:rsidR="00000000" w:rsidRPr="00000000">
        <w:rPr>
          <w:rFonts w:ascii="Times New Roman" w:cs="Times New Roman" w:eastAsia="Times New Roman" w:hAnsi="Times New Roman"/>
          <w:b w:val="1"/>
          <w:bCs w:val="1"/>
          <w:sz w:val="24"/>
          <w:szCs w:val="24"/>
          <w:rtl w:val="0"/>
        </w:rPr>
        <w:t xml:space="preserve">Atributos de Calidad y RNF</w:t>
      </w:r>
    </w:p>
    <w:p w:rsidR="00000000" w:rsidDel="00000000" w:rsidP="00000000" w:rsidRDefault="00000000" w:rsidRPr="00000000" w14:paraId="000000E4">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 calidad derivan directamente de los Requisitos No Funcionales definidos en los casos de uso:</w:t>
      </w:r>
    </w:p>
    <w:tbl>
      <w:tblPr>
        <w:tblStyle w:val="Table6"/>
        <w:tblW w:w="829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920"/>
        <w:gridCol w:w="2220"/>
        <w:gridCol w:w="2190"/>
        <w:tblGridChange w:id="0">
          <w:tblGrid>
            <w:gridCol w:w="1965"/>
            <w:gridCol w:w="1920"/>
            <w:gridCol w:w="2220"/>
            <w:gridCol w:w="21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Arquitectónica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&lt; 20 seg.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API con streaming; chunks pequeños en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manual con cronómetro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en demos y evaluaciones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 Render son servicios gestionados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con UptimeRobot (free)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usuarios concurrentes (demos)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stateless; suficiente para el MVP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para MVP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historial de cada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HTTPS + variables de entorno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del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Edge actuales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SPA con diseño responsivo (Tailwind)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manuales cross-browser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capacitación técnica previa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conversacional en lenguaje natural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UAT con compañeros</w:t>
            </w:r>
          </w:p>
        </w:tc>
      </w:tr>
    </w:tbl>
    <w:p w:rsidR="00000000" w:rsidDel="00000000" w:rsidP="00000000" w:rsidRDefault="00000000" w:rsidRPr="00000000" w14:paraId="00000101">
      <w:pPr>
        <w:pStyle w:val="Heading1"/>
        <w:numPr>
          <w:ilvl w:val="0"/>
          <w:numId w:val="7"/>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adl5u0hh3qae" w:id="20"/>
      <w:bookmarkEnd w:id="20"/>
      <w:r w:rsidDel="00000000" w:rsidR="00000000" w:rsidRPr="00000000">
        <w:rPr>
          <w:rFonts w:ascii="Times New Roman" w:cs="Times New Roman" w:eastAsia="Times New Roman" w:hAnsi="Times New Roman"/>
          <w:b w:val="1"/>
          <w:bCs w:val="1"/>
          <w:sz w:val="24"/>
          <w:szCs w:val="24"/>
          <w:rtl w:val="0"/>
        </w:rPr>
        <w:t xml:space="preserve">Stack Tecnológico</w:t>
      </w:r>
      <w:r w:rsidDel="00000000" w:rsidR="00000000" w:rsidRPr="00000000">
        <w:rPr>
          <w:rtl w:val="0"/>
        </w:rPr>
      </w:r>
    </w:p>
    <w:tbl>
      <w:tblPr>
        <w:tblStyle w:val="Table7"/>
        <w:tblW w:w="829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875"/>
        <w:gridCol w:w="1620"/>
        <w:gridCol w:w="2880"/>
        <w:tblGridChange w:id="0">
          <w:tblGrid>
            <w:gridCol w:w="1920"/>
            <w:gridCol w:w="1875"/>
            <w:gridCol w:w="162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7" w:val="clear"/>
            <w:tcMar>
              <w:top w:w="80.0" w:type="dxa"/>
              <w:left w:w="160.0" w:type="dxa"/>
              <w:bottom w:w="80.0" w:type="dxa"/>
              <w:right w:w="160.0" w:type="dxa"/>
            </w:tcMar>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del chatbot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Estilos de interfaz responsiva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principal del servidor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API REST asíncrono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Orquestación del pipeline RAG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gemini-1.5-flash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texto y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vectorial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Bedrock Knowledge Bases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 por uso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y consulta de embeddings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(free 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relacionales, historial y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Procesam. PDF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PyMuPDF / Unstructured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offline de reglamentos PDF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Empaquetado del servicio backend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Frontend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y CI/CD del frontend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del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 Playwright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E2E básicas</w:t>
            </w:r>
          </w:p>
        </w:tc>
      </w:tr>
    </w:tbl>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