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mensuel</w:t>
      </w:r>
      <w:r>
        <w:t xml:space="preserve"> </w:t>
      </w:r>
      <w:r>
        <w:t xml:space="preserve">sur</w:t>
      </w:r>
      <w:r>
        <w:t xml:space="preserve"> </w:t>
      </w:r>
      <w:r>
        <w:t xml:space="preserve">le</w:t>
      </w:r>
      <w:r>
        <w:t xml:space="preserve"> </w:t>
      </w:r>
      <w:r>
        <w:t xml:space="preserve">risque</w:t>
      </w:r>
      <w:r>
        <w:t xml:space="preserve"> </w:t>
      </w:r>
      <w:r>
        <w:t xml:space="preserve">de</w:t>
      </w:r>
      <w:r>
        <w:t xml:space="preserve"> </w:t>
      </w:r>
      <w:r>
        <w:t xml:space="preserve">crédit</w:t>
      </w:r>
      <w:r>
        <w:t xml:space="preserve"> </w:t>
      </w:r>
      <w:r>
        <w:t xml:space="preserve">-</w:t>
      </w:r>
      <w:r>
        <w:t xml:space="preserve"> </w:t>
      </w:r>
      <w:r>
        <w:t xml:space="preserve">2020-12-31</w:t>
      </w:r>
    </w:p>
    <w:p>
      <w:pPr>
        <w:pStyle w:val="Date"/>
      </w:pPr>
      <w:r>
        <w:t xml:space="preserve">2022-01-25</w:t>
      </w:r>
      <w:r>
        <w:t xml:space="preserve"> </w:t>
      </w:r>
      <w:r>
        <w:t xml:space="preserve">13:46:23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30" w:name="situation-du-portefeuille"/>
    <w:p>
      <w:pPr>
        <w:pStyle w:val="Heading1"/>
      </w:pPr>
      <w:r>
        <w:t xml:space="preserve">Situation du portefeuille</w:t>
      </w:r>
    </w:p>
    <w:bookmarkStart w:id="28" w:name="vision-par-pays"/>
    <w:p>
      <w:pPr>
        <w:pStyle w:val="Heading2"/>
      </w:pPr>
      <w:r>
        <w:t xml:space="preserve">Vision par pays</w:t>
      </w:r>
    </w:p>
    <w:p>
      <w:pPr>
        <w:pStyle w:val="FirstParagraph"/>
      </w:pPr>
      <w:r>
        <w:t xml:space="preserve">Cette section décrit la situation du portefeuille de chacun des (08) entités.</w:t>
      </w:r>
    </w:p>
    <w:bookmarkStart w:id="20" w:name="burkina"/>
    <w:p>
      <w:pPr>
        <w:pStyle w:val="Heading3"/>
      </w:pPr>
      <w:r>
        <w:t xml:space="preserve">Burkina</w:t>
      </w:r>
    </w:p>
    <w:bookmarkEnd w:id="20"/>
    <w:bookmarkStart w:id="21" w:name="benin"/>
    <w:p>
      <w:pPr>
        <w:pStyle w:val="Heading3"/>
      </w:pPr>
      <w:r>
        <w:t xml:space="preserve">Benin</w:t>
      </w:r>
    </w:p>
    <w:p>
      <w:pPr>
        <w:pStyle w:val="FirstParagraph"/>
      </w:pPr>
      <w:r>
        <w:t xml:space="preserve">L’évolution du portefeuille de CBI</w:t>
      </w:r>
      <w:r>
        <w:t xml:space="preserve"> </w:t>
      </w:r>
      <w:r>
        <w:rPr>
          <w:bCs/>
          <w:b/>
        </w:rPr>
        <w:t xml:space="preserve">Benin</w:t>
      </w:r>
      <w:r>
        <w:t xml:space="preserve"> </w:t>
      </w:r>
      <w:r>
        <w:t xml:space="preserve">sur les (03) trois derniers mois.</w:t>
      </w:r>
    </w:p>
    <w:p>
      <w:pPr>
        <w:pStyle w:val="BodyText"/>
      </w:pPr>
      <w:r>
        <w:br/>
      </w:r>
      <w:r>
        <w:t xml:space="preserve">Les effets sont portés par {{CBI}}</w:t>
      </w:r>
      <w:r>
        <w:br/>
      </w:r>
      <w:r>
        <w:br/>
      </w:r>
      <w:r>
        <w:t xml:space="preserve">La synthèse suivant les Sains, Restructurés et Douteux et litigieux est reporté dans le tableau suivant:</w:t>
      </w:r>
    </w:p>
    <w:p>
      <w:pPr>
        <w:pStyle w:val="BodyText"/>
      </w:pPr>
      <w:r>
        <w:br/>
      </w:r>
      <w:r>
        <w:br/>
      </w:r>
    </w:p>
    <w:bookmarkEnd w:id="21"/>
    <w:bookmarkStart w:id="22" w:name="côte-divoire"/>
    <w:p>
      <w:pPr>
        <w:pStyle w:val="Heading3"/>
      </w:pPr>
      <w:r>
        <w:t xml:space="preserve">Côte d’Ivoire</w:t>
      </w:r>
    </w:p>
    <w:p>
      <w:pPr>
        <w:pStyle w:val="FirstParagraph"/>
      </w:pPr>
      <w:r>
        <w:t xml:space="preserve">L’évolution du portefeuille de CBI</w:t>
      </w:r>
      <w:r>
        <w:t xml:space="preserve"> </w:t>
      </w:r>
      <w:r>
        <w:rPr>
          <w:bCs/>
          <w:b/>
        </w:rPr>
        <w:t xml:space="preserve">CI</w:t>
      </w:r>
      <w:r>
        <w:t xml:space="preserve"> </w:t>
      </w:r>
      <w:r>
        <w:t xml:space="preserve">sur les (03) trois derniers mois.</w:t>
      </w:r>
    </w:p>
    <w:p>
      <w:pPr>
        <w:pStyle w:val="BodyText"/>
      </w:pPr>
      <w:r>
        <w:br/>
      </w:r>
      <w:r>
        <w:br/>
      </w:r>
      <w:r>
        <w:t xml:space="preserve">La synthèse suivant les Sains, Restructurés et Douteux et litigieux est reporté dans le tableau suivant:</w:t>
      </w:r>
    </w:p>
    <w:p>
      <w:pPr>
        <w:pStyle w:val="BodyText"/>
      </w:pPr>
      <w:r>
        <w:br/>
      </w:r>
      <w:r>
        <w:br/>
      </w:r>
    </w:p>
    <w:bookmarkEnd w:id="22"/>
    <w:bookmarkStart w:id="23" w:name="guinée"/>
    <w:p>
      <w:pPr>
        <w:pStyle w:val="Heading3"/>
      </w:pPr>
      <w:r>
        <w:t xml:space="preserve">Guinée</w:t>
      </w:r>
    </w:p>
    <w:bookmarkEnd w:id="23"/>
    <w:bookmarkStart w:id="24" w:name="mali"/>
    <w:p>
      <w:pPr>
        <w:pStyle w:val="Heading3"/>
      </w:pPr>
      <w:r>
        <w:t xml:space="preserve">Mali</w:t>
      </w:r>
    </w:p>
    <w:p>
      <w:pPr>
        <w:pStyle w:val="FirstParagraph"/>
      </w:pPr>
      <w:r>
        <w:t xml:space="preserve">L’évolution du portefeuille de CBI</w:t>
      </w:r>
      <w:r>
        <w:t xml:space="preserve"> </w:t>
      </w:r>
      <w:r>
        <w:rPr>
          <w:bCs/>
          <w:b/>
        </w:rPr>
        <w:t xml:space="preserve">ML</w:t>
      </w:r>
      <w:r>
        <w:t xml:space="preserve"> </w:t>
      </w:r>
      <w:r>
        <w:t xml:space="preserve">sur les (03) trois derniers mois.</w:t>
      </w:r>
    </w:p>
    <w:p>
      <w:pPr>
        <w:pStyle w:val="BodyText"/>
      </w:pPr>
      <w:r>
        <w:br/>
      </w:r>
      <w:r>
        <w:br/>
      </w:r>
      <w:r>
        <w:t xml:space="preserve">La synthèse suivant les Sains, Restructurés et Douteux et litigieux est reporté dans le tableau suivant:</w:t>
      </w:r>
    </w:p>
    <w:p>
      <w:pPr>
        <w:pStyle w:val="BodyText"/>
      </w:pPr>
      <w:r>
        <w:br/>
      </w:r>
      <w:r>
        <w:br/>
      </w:r>
    </w:p>
    <w:bookmarkEnd w:id="24"/>
    <w:bookmarkStart w:id="25" w:name="niger"/>
    <w:p>
      <w:pPr>
        <w:pStyle w:val="Heading3"/>
      </w:pPr>
      <w:r>
        <w:t xml:space="preserve">Niger</w:t>
      </w:r>
    </w:p>
    <w:p>
      <w:pPr>
        <w:pStyle w:val="FirstParagraph"/>
      </w:pPr>
      <w:r>
        <w:t xml:space="preserve">L’évolution du portefeuille de CBI</w:t>
      </w:r>
      <w:r>
        <w:t xml:space="preserve"> </w:t>
      </w:r>
      <w:r>
        <w:rPr>
          <w:bCs/>
          <w:b/>
        </w:rPr>
        <w:t xml:space="preserve">NG</w:t>
      </w:r>
      <w:r>
        <w:t xml:space="preserve"> </w:t>
      </w:r>
      <w:r>
        <w:t xml:space="preserve">sur les (03) trois derniers mois.</w:t>
      </w:r>
    </w:p>
    <w:p>
      <w:pPr>
        <w:pStyle w:val="BodyText"/>
      </w:pPr>
      <w:r>
        <w:br/>
      </w:r>
      <w:r>
        <w:br/>
      </w:r>
      <w:r>
        <w:t xml:space="preserve">La synthèse suivant les Sains, Restructurés et Douteux et litigieux est reporté dans le tableau suivant:</w:t>
      </w:r>
    </w:p>
    <w:p>
      <w:pPr>
        <w:pStyle w:val="BodyText"/>
      </w:pPr>
      <w:r>
        <w:br/>
      </w:r>
      <w:r>
        <w:br/>
      </w:r>
    </w:p>
    <w:bookmarkEnd w:id="25"/>
    <w:bookmarkStart w:id="26" w:name="sénégal"/>
    <w:p>
      <w:pPr>
        <w:pStyle w:val="Heading3"/>
      </w:pPr>
      <w:r>
        <w:t xml:space="preserve">Sénégal</w:t>
      </w:r>
    </w:p>
    <w:p>
      <w:pPr>
        <w:pStyle w:val="FirstParagraph"/>
      </w:pPr>
      <w:r>
        <w:t xml:space="preserve">L’évolution du portefeuille de CBI</w:t>
      </w:r>
      <w:r>
        <w:t xml:space="preserve"> </w:t>
      </w:r>
      <w:r>
        <w:rPr>
          <w:bCs/>
          <w:b/>
        </w:rPr>
        <w:t xml:space="preserve">SN</w:t>
      </w:r>
      <w:r>
        <w:t xml:space="preserve"> </w:t>
      </w:r>
      <w:r>
        <w:t xml:space="preserve">sur les (03) trois derniers mois.</w:t>
      </w:r>
    </w:p>
    <w:p>
      <w:pPr>
        <w:pStyle w:val="BodyText"/>
      </w:pPr>
      <w:r>
        <w:br/>
      </w:r>
      <w:r>
        <w:br/>
      </w:r>
      <w:r>
        <w:t xml:space="preserve">La synthèse suivant les Sains, Restructurés et Douteux et litigieux est reporté dans le tableau suivant:</w:t>
      </w:r>
    </w:p>
    <w:p>
      <w:pPr>
        <w:pStyle w:val="BodyText"/>
      </w:pPr>
      <w:r>
        <w:br/>
      </w:r>
      <w:r>
        <w:br/>
      </w:r>
    </w:p>
    <w:bookmarkEnd w:id="26"/>
    <w:bookmarkStart w:id="27" w:name="togo"/>
    <w:p>
      <w:pPr>
        <w:pStyle w:val="Heading3"/>
      </w:pPr>
      <w:r>
        <w:t xml:space="preserve">Togo</w:t>
      </w:r>
    </w:p>
    <w:p>
      <w:pPr>
        <w:pStyle w:val="FirstParagraph"/>
      </w:pPr>
      <w:r>
        <w:t xml:space="preserve">L’évolution du portefeuille de CBI</w:t>
      </w:r>
      <w:r>
        <w:t xml:space="preserve"> </w:t>
      </w:r>
      <w:r>
        <w:rPr>
          <w:bCs/>
          <w:b/>
        </w:rPr>
        <w:t xml:space="preserve">TG</w:t>
      </w:r>
      <w:r>
        <w:t xml:space="preserve"> </w:t>
      </w:r>
      <w:r>
        <w:t xml:space="preserve">sur les (03) trois derniers mois.</w:t>
      </w:r>
    </w:p>
    <w:p>
      <w:pPr>
        <w:pStyle w:val="BodyText"/>
      </w:pPr>
      <w:r>
        <w:br/>
      </w:r>
      <w:r>
        <w:br/>
      </w:r>
      <w:r>
        <w:t xml:space="preserve">La synthèse suivant les Sains, Restructurés et Douteux et litigieux est reporté dans le tableau suivant:</w:t>
      </w:r>
    </w:p>
    <w:p>
      <w:pPr>
        <w:pStyle w:val="BodyText"/>
      </w:pPr>
      <w:r>
        <w:br/>
      </w:r>
      <w:r>
        <w:br/>
      </w:r>
    </w:p>
    <w:bookmarkEnd w:id="27"/>
    <w:bookmarkEnd w:id="28"/>
    <w:bookmarkStart w:id="29" w:name="vision-agrégée"/>
    <w:p>
      <w:pPr>
        <w:pStyle w:val="Heading2"/>
      </w:pPr>
      <w:r>
        <w:t xml:space="preserve">Vision agrégée</w:t>
      </w:r>
    </w:p>
    <w:p>
      <w:pPr>
        <w:pStyle w:val="FirstParagraph"/>
      </w:pPr>
      <w:r>
        <w:t xml:space="preserve">La vision agrégée reprend les mêmes informations que précédemment. Les chiffres sont obtenus en sommant les montants de toutes entités.</w:t>
      </w:r>
      <w:r>
        <w:br/>
      </w:r>
    </w:p>
    <w:p>
      <w:pPr>
        <w:pStyle w:val="BodyText"/>
      </w:pPr>
      <w:r>
        <w:br/>
      </w:r>
      <w:r>
        <w:br/>
      </w:r>
    </w:p>
    <w:p>
      <w:pPr>
        <w:pStyle w:val="BodyText"/>
      </w:pPr>
      <w:r>
        <w:br/>
      </w:r>
      <w:r>
        <w:br/>
      </w:r>
      <w:r>
        <w:rPr>
          <w:bCs/>
          <w:b/>
        </w:rPr>
        <w:t xml:space="preserve">Observations:</w:t>
      </w:r>
      <w:r>
        <w:t xml:space="preserve"> </w:t>
      </w:r>
      <w:r>
        <w:t xml:space="preserve">On constate une évolution positive (395.24%) des montants du portefeuille sain cet arreté par rapport à l’arrêté précédent.</w:t>
      </w:r>
      <w:r>
        <w:t xml:space="preserve"> </w:t>
      </w:r>
      <w:r>
        <w:t xml:space="preserve">Sur le périmètre des restructurés, on observe une évolution positive (106.89%). Enfin sur les dossiers douteux et litigieux,</w:t>
      </w:r>
      <w:r>
        <w:t xml:space="preserve"> </w:t>
      </w:r>
      <w:r>
        <w:t xml:space="preserve">l’évolution est positive (8632.8%)</w:t>
      </w:r>
    </w:p>
    <w:bookmarkEnd w:id="29"/>
    <w:bookmarkEnd w:id="30"/>
    <w:bookmarkStart w:id="31" w:name="répartition-suivant-la-qualité"/>
    <w:p>
      <w:pPr>
        <w:pStyle w:val="Heading1"/>
      </w:pPr>
      <w:r>
        <w:t xml:space="preserve">Répartition suivant la qualité</w:t>
      </w:r>
    </w:p>
    <w:bookmarkEnd w:id="31"/>
    <w:bookmarkStart w:id="32" w:name="répartition-suivant-le-segment"/>
    <w:p>
      <w:pPr>
        <w:pStyle w:val="Heading1"/>
      </w:pPr>
      <w:r>
        <w:t xml:space="preserve">Répartition suivant le segment</w:t>
      </w:r>
    </w:p>
    <w:bookmarkEnd w:id="32"/>
    <w:bookmarkStart w:id="33" w:name="répartition-suivant-le-secteur-dactivité"/>
    <w:p>
      <w:pPr>
        <w:pStyle w:val="Heading1"/>
      </w:pPr>
      <w:r>
        <w:t xml:space="preserve">Répartition suivant le secteur d’activité</w:t>
      </w:r>
    </w:p>
    <w:bookmarkEnd w:id="33"/>
    <w:bookmarkStart w:id="34" w:name="cdl-par-age"/>
    <w:p>
      <w:pPr>
        <w:pStyle w:val="Heading1"/>
      </w:pPr>
      <w:r>
        <w:t xml:space="preserve">CDL par age</w:t>
      </w:r>
    </w:p>
    <w:bookmarkEnd w:id="34"/>
    <w:bookmarkStart w:id="35" w:name="engagements-hors-bilan"/>
    <w:p>
      <w:pPr>
        <w:pStyle w:val="Heading1"/>
      </w:pPr>
      <w:r>
        <w:t xml:space="preserve">Engagements hors bilan</w:t>
      </w:r>
    </w:p>
    <w:bookmarkEnd w:id="35"/>
    <w:bookmarkStart w:id="36" w:name="plus-gros-engagements"/>
    <w:p>
      <w:pPr>
        <w:pStyle w:val="Heading1"/>
      </w:pPr>
      <w:r>
        <w:t xml:space="preserve">50 plus gros engagements</w:t>
      </w:r>
    </w:p>
    <w:bookmarkEnd w:id="36"/>
    <w:bookmarkStart w:id="37" w:name="situation-consolidée-du-portefeuille"/>
    <w:p>
      <w:pPr>
        <w:pStyle w:val="Heading1"/>
      </w:pPr>
      <w:r>
        <w:t xml:space="preserve">Situation consolidée du portefeuille</w:t>
      </w:r>
    </w:p>
    <w:bookmarkEnd w:id="37"/>
    <w:bookmarkStart w:id="38" w:name="section"/>
    <w:p>
      <w:pPr>
        <w:pStyle w:val="Heading1"/>
      </w:pP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mensuel sur le risque de crédit - 2020-12-31</dc:title>
  <dc:creator/>
  <cp:keywords/>
  <dcterms:created xsi:type="dcterms:W3CDTF">2022-01-25T12:46:28Z</dcterms:created>
  <dcterms:modified xsi:type="dcterms:W3CDTF">2022-01-25T12:46:28Z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2022-01-25 13:46:23</vt:lpwstr>
  </property>
  <property fmtid="{D5CDD505-2E9C-101B-9397-08002B2CF9AE}" pid="3" name="output">
    <vt:lpwstr/>
  </property>
  <property fmtid="{D5CDD505-2E9C-101B-9397-08002B2CF9AE}" pid="4" name="params">
    <vt:lpwstr/>
  </property>
</Properties>
</file>