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Reporting</w:t>
      </w:r>
      <w:r>
        <w:t xml:space="preserve"> </w:t>
      </w:r>
      <w:r>
        <w:t xml:space="preserve">mensuel</w:t>
      </w:r>
      <w:r>
        <w:t xml:space="preserve"> </w:t>
      </w:r>
      <w:r>
        <w:t xml:space="preserve">sur</w:t>
      </w:r>
      <w:r>
        <w:t xml:space="preserve"> </w:t>
      </w:r>
      <w:r>
        <w:t xml:space="preserve">le</w:t>
      </w:r>
      <w:r>
        <w:t xml:space="preserve"> </w:t>
      </w:r>
      <w:r>
        <w:t xml:space="preserve">risque</w:t>
      </w:r>
      <w:r>
        <w:t xml:space="preserve"> </w:t>
      </w:r>
      <w:r>
        <w:t xml:space="preserve">de</w:t>
      </w:r>
      <w:r>
        <w:t xml:space="preserve"> </w:t>
      </w:r>
      <w:r>
        <w:t xml:space="preserve">crédit</w:t>
      </w:r>
      <w:r>
        <w:t xml:space="preserve"> </w:t>
      </w:r>
      <w:r>
        <w:t xml:space="preserve">-</w:t>
      </w:r>
      <w:r>
        <w:t xml:space="preserve"> </w:t>
      </w:r>
      <w:r>
        <w:t xml:space="preserve">2020-12-31</w:t>
      </w:r>
      <w:r>
        <w:t xml:space="preserve"> </w:t>
      </w:r>
      <w:r>
        <w:t xml:space="preserve">de</w:t>
      </w:r>
      <w:r>
        <w:t xml:space="preserve"> </w:t>
      </w:r>
      <w:r>
        <w:t xml:space="preserve">Burkina</w:t>
      </w:r>
    </w:p>
    <w:p>
      <w:pPr>
        <w:pStyle w:val="Date"/>
      </w:pPr>
      <w:r>
        <w:t xml:space="preserve">2022-02-10</w:t>
      </w:r>
      <w:r>
        <w:t xml:space="preserve"> </w:t>
      </w:r>
      <w:r>
        <w:t xml:space="preserve">18:55:22</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0" w:name="situation-du-portefeuille"/>
    <w:p>
      <w:pPr>
        <w:pStyle w:val="Titre1"/>
      </w:pPr>
      <w:r>
        <w:t xml:space="preserve">Situation du portefeuille</w:t>
      </w:r>
    </w:p>
    <w:p>
      <w:pPr>
        <w:pStyle w:val="FirstParagraph"/>
      </w:pPr>
      <w:r>
        <w:t xml:space="preserve">L’évolution du portefeuille de CBI</w:t>
      </w:r>
      <w:r>
        <w:t xml:space="preserve"> </w:t>
      </w:r>
      <w:r>
        <w:rPr>
          <w:bCs/>
          <w:b/>
        </w:rPr>
        <w:t xml:space="preserve">Burkina</w:t>
      </w:r>
      <w:r>
        <w:t xml:space="preserve"> </w:t>
      </w:r>
      <w:r>
        <w:t xml:space="preserve">sur les (03) trois derniers mois.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Situation du portefeuille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4"/>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Evolution</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Intitule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2020-12-31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2020-11-30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2020-10-31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evol1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evol2</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Encours des effets</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1,112,739,033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1,142,739,033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1,112,739,033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-0.026252713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Credits Court terme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38,595,727,244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38,595,727,244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38,595,727,244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Credit Moyen et Long terme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184,686,996,845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183,686,996,845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183,686,996,845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-0.005414566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Compte débiteurs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1,308,147,860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3,216,165,360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3,187,165,360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-0.009016949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1.436395348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Impayes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231,866,026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331,866,026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231,866,026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-0.301326415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Restructures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1,641,188,662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343,171,162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462,171,162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0.346765734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-0.718392423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Credits Particuliers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339,915,897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339,915,897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339,915,897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0.000000000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Credits Entreprises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bookmarkEnd w:id="20"/>
    <w:bookmarkStart w:id="22" w:name="répartition-suivant-la-qualité"/>
    <w:p>
      <w:pPr>
        <w:pStyle w:val="Titre1"/>
      </w:pPr>
      <w:r>
        <w:t xml:space="preserve">Répartition suivant la qualité</w:t>
      </w:r>
    </w:p>
    <w:p>
      <w:pPr>
        <w:pStyle w:val="FirstParagraph"/>
      </w:pPr>
      <w:r>
        <w:t xml:space="preserve">Cette section synthétise les montants des engagements directs (Trésorerie) et indirects (Signature) selon les classes de risques.</w:t>
      </w:r>
    </w:p>
    <w:bookmarkStart w:id="21" w:name="matrice-de-passage"/>
    <w:p>
      <w:pPr>
        <w:pStyle w:val="Titre2"/>
      </w:pPr>
      <w:r>
        <w:t xml:space="preserve">Matrice de passage</w:t>
      </w:r>
    </w:p>
    <w:p>
      <w:pPr>
        <w:pStyle w:val="FirstParagraph"/>
      </w:pPr>
      <w:r>
        <w:t xml:space="preserve">Cette section décrit les transitions effectuées entre 2020-12-31 et 2020-11-30`. Il s’agit du taux de contreparties ayant transité d’une classe de risque A vers une classe de risque B entre deux arrêtés.</w:t>
      </w:r>
    </w:p>
    <w:bookmarkEnd w:id="21"/>
    <w:bookmarkEnd w:id="22"/>
    <w:bookmarkStart w:id="23" w:name="répartition-suivant-le-segment"/>
    <w:p>
      <w:pPr>
        <w:pStyle w:val="Titre1"/>
      </w:pPr>
      <w:r>
        <w:t xml:space="preserve">Répartition suivant le segment</w:t>
      </w:r>
    </w:p>
    <w:p>
      <w:pPr>
        <w:pStyle w:val="FirstParagraph"/>
      </w:pPr>
      <w:r>
        <w:t xml:space="preserve">Cette section donne la situation des engagements (directs et indirects), des restructurés, des CES (Créances en souffrance) ainsi que des taux de dégradation et des taux de provisions par segment. Ces segments ont été définis par le groupe.</w:t>
      </w:r>
    </w:p>
    <w:bookmarkEnd w:id="23"/>
    <w:bookmarkStart w:id="24" w:name="répartition-suivant-le-secteur-dactivité"/>
    <w:p>
      <w:pPr>
        <w:pStyle w:val="Titre1"/>
      </w:pPr>
      <w:r>
        <w:t xml:space="preserve">Répartition suivant le secteur d’activité</w:t>
      </w:r>
    </w:p>
    <w:p>
      <w:pPr>
        <w:pStyle w:val="FirstParagraph"/>
      </w:pPr>
      <w:r>
        <w:t xml:space="preserve">Cette section reprend les montants des engagements du bilan et du hors bilan en plus des taux de provisionnement et de dégradation par secteur d’activité. Ces sections d’activités sont définis conformément au critères de la BCEAO.</w:t>
      </w:r>
    </w:p>
    <w:bookmarkEnd w:id="24"/>
    <w:bookmarkStart w:id="25" w:name="cdl-par-age"/>
    <w:p>
      <w:pPr>
        <w:pStyle w:val="Titre1"/>
      </w:pPr>
      <w:r>
        <w:t xml:space="preserve">CDL par age</w:t>
      </w:r>
    </w:p>
    <w:p>
      <w:pPr>
        <w:pStyle w:val="FirstParagraph"/>
      </w:pPr>
      <w:r>
        <w:t xml:space="preserve">Cette section donne les montants de Encours douteux et litigieux, les montants et taux de provisions par ancienneté de déclassement.</w:t>
      </w:r>
    </w:p>
    <w:bookmarkEnd w:id="25"/>
    <w:bookmarkStart w:id="26" w:name="engagements-hors-bilan"/>
    <w:p>
      <w:pPr>
        <w:pStyle w:val="Titre1"/>
      </w:pPr>
      <w:r>
        <w:t xml:space="preserve">Engagements hors bilan</w:t>
      </w:r>
    </w:p>
    <w:p>
      <w:pPr>
        <w:pStyle w:val="FirstParagraph"/>
      </w:pPr>
      <w:r>
        <w:t xml:space="preserve">Les engagements hors bilan sont repris dans le tableau ci-dessous.</w:t>
      </w:r>
      <w:r>
        <w:t xml:space="preserve"> </w:t>
      </w:r>
      <w:r>
        <w:t xml:space="preserve">Il est important de rappeler que le tableau intègre les avals de traite qui sont des informations fournies par chaque entité:</w:t>
      </w:r>
    </w:p>
    <w:bookmarkEnd w:id="26"/>
    <w:bookmarkStart w:id="27" w:name="synthèse-des-indicateurs"/>
    <w:p>
      <w:pPr>
        <w:pStyle w:val="Titre1"/>
      </w:pPr>
      <w:r>
        <w:t xml:space="preserve">Synthèse des indicateurs</w:t>
      </w:r>
    </w:p>
    <w:p>
      <w:pPr>
        <w:pStyle w:val="FirstParagraph"/>
      </w:pPr>
      <w:r>
        <w:t xml:space="preserve">Cette section fait la synthèse des indicateurs. Elle donne également une vision évolutive du portefeuille sur les (03) derniers arrêtés.</w:t>
      </w:r>
    </w:p>
    <w:bookmarkEnd w:id="27"/>
    <w:bookmarkStart w:id="28" w:name="indicateurs-dappétence-au-risque"/>
    <w:p>
      <w:pPr>
        <w:pStyle w:val="Titre1"/>
      </w:pPr>
      <w:r>
        <w:t xml:space="preserve">Indicateurs d’appétence au risque</w:t>
      </w:r>
    </w:p>
    <w:bookmarkEnd w:id="28"/>
    <w:sectPr w:rsidR="00763C14">
      <w:footerReference r:id="rId9" w:type="defaul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377486"/>
      <w:docPartObj>
        <w:docPartGallery w:val="Page Numbers (Bottom of Page)"/>
        <w:docPartUnique/>
      </w:docPartObj>
    </w:sdtPr>
    <w:sdtContent>
      <w:p w:rsidR="00927822" w:rsidRDefault="00927822">
        <w:pPr>
          <w:pStyle w:val="Pieddepage"/>
          <w:jc w:val="right"/>
        </w:pPr>
        <w:r>
          <w:fldChar w:fldCharType="begin"/>
        </w:r>
        <w:r>
          <w:instrText>PAGE   \* MERGEFORMAT</w:instrText>
        </w:r>
        <w:r>
          <w:fldChar w:fldCharType="separate"/>
        </w:r>
        <w:r w:rsidRPr="00927822">
          <w:rPr>
            <w:noProof/>
            <w:lang w:val="fr-FR"/>
          </w:rPr>
          <w:t>1</w:t>
        </w:r>
        <w:r>
          <w:fldChar w:fldCharType="end"/>
        </w:r>
      </w:p>
    </w:sdtContent>
  </w:sdt>
  <w:p w:rsidR="00927822" w:rsidRDefault="009278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C304F03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54A7CA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A1E8CD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A46368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036D8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1CACD4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77C269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9563E0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2524A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70AD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A42FD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63FCE"/>
    <w:rPr>
      <w:rFonts w:ascii="Times New Roman" w:hAnsi="Times New Roman"/>
    </w:rPr>
  </w:style>
  <w:style w:styleId="Titre1" w:type="paragraph">
    <w:name w:val="heading 1"/>
    <w:basedOn w:val="Normal"/>
    <w:next w:val="Corpsdetexte"/>
    <w:uiPriority w:val="9"/>
    <w:qFormat/>
    <w:rsid w:val="0015502D"/>
    <w:pPr>
      <w:keepNext/>
      <w:keepLines/>
      <w:spacing w:after="0" w:before="480"/>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15502D"/>
    <w:pPr>
      <w:keepNext/>
      <w:keepLines/>
      <w:spacing w:after="0" w:before="200"/>
      <w:outlineLvl w:val="1"/>
    </w:pPr>
    <w:rPr>
      <w:rFonts w:cstheme="majorBidi" w:eastAsiaTheme="majorEastAsia"/>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rsid w:val="0015502D"/>
    <w:pPr>
      <w:jc w:val="both"/>
    </w:pPr>
  </w:style>
  <w:style w:customStyle="1" w:styleId="Compact" w:type="paragraph">
    <w:name w:val="Compact"/>
    <w:basedOn w:val="Corpsdetexte"/>
    <w:qFormat/>
    <w:pPr>
      <w:spacing w:after="36" w:before="36"/>
    </w:pPr>
  </w:style>
  <w:style w:styleId="Titre" w:type="paragraph">
    <w:name w:val="Title"/>
    <w:basedOn w:val="Normal"/>
    <w:next w:val="Corpsdetexte"/>
    <w:qFormat/>
    <w:rsid w:val="0015502D"/>
    <w:pPr>
      <w:keepNext/>
      <w:keepLines/>
      <w:spacing w:after="240" w:before="480"/>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rsid w:val="0015502D"/>
    <w:pPr>
      <w:keepNext/>
      <w:keepLines/>
      <w:jc w:val="center"/>
    </w:pPr>
    <w:rPr>
      <w:rFonts w:ascii="Times New Roman" w:hAnsi="Times New Roman"/>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15502D"/>
    <w:pPr>
      <w:spacing w:after="100" w:before="100"/>
      <w:ind w:left="480" w:right="480"/>
      <w:jc w:val="both"/>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15502D"/>
    <w:pPr>
      <w:spacing w:after="120"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D63FCE"/>
    <w:pPr>
      <w:spacing w:after="100"/>
    </w:pPr>
  </w:style>
  <w:style w:styleId="TM2" w:type="paragraph">
    <w:name w:val="toc 2"/>
    <w:basedOn w:val="Normal"/>
    <w:next w:val="Normal"/>
    <w:autoRedefine/>
    <w:uiPriority w:val="39"/>
    <w:unhideWhenUsed/>
    <w:rsid w:val="00D63FCE"/>
    <w:pPr>
      <w:spacing w:after="100"/>
      <w:ind w:left="240"/>
    </w:pPr>
  </w:style>
  <w:style w:styleId="En-tte" w:type="paragraph">
    <w:name w:val="header"/>
    <w:basedOn w:val="Normal"/>
    <w:link w:val="En-tteCar"/>
    <w:unhideWhenUsed/>
    <w:rsid w:val="00927822"/>
    <w:pPr>
      <w:tabs>
        <w:tab w:pos="4536" w:val="center"/>
        <w:tab w:pos="9072" w:val="right"/>
      </w:tabs>
      <w:spacing w:after="0"/>
    </w:pPr>
  </w:style>
  <w:style w:customStyle="1" w:styleId="CorpsdetexteCar" w:type="character">
    <w:name w:val="Corps de texte Car"/>
    <w:basedOn w:val="Policepardfaut"/>
    <w:link w:val="Corpsdetexte"/>
    <w:rsid w:val="0015502D"/>
    <w:rPr>
      <w:rFonts w:ascii="Times New Roman" w:hAnsi="Times New Roman"/>
    </w:rPr>
  </w:style>
  <w:style w:customStyle="1" w:styleId="En-tteCar" w:type="character">
    <w:name w:val="En-tête Car"/>
    <w:basedOn w:val="Policepardfaut"/>
    <w:link w:val="En-tte"/>
    <w:rsid w:val="00927822"/>
    <w:rPr>
      <w:rFonts w:ascii="Times New Roman" w:hAnsi="Times New Roman"/>
    </w:rPr>
  </w:style>
  <w:style w:styleId="Pieddepage" w:type="paragraph">
    <w:name w:val="footer"/>
    <w:basedOn w:val="Normal"/>
    <w:link w:val="PieddepageCar"/>
    <w:uiPriority w:val="99"/>
    <w:unhideWhenUsed/>
    <w:rsid w:val="00927822"/>
    <w:pPr>
      <w:tabs>
        <w:tab w:pos="4536" w:val="center"/>
        <w:tab w:pos="9072" w:val="right"/>
      </w:tabs>
      <w:spacing w:after="0"/>
    </w:pPr>
  </w:style>
  <w:style w:customStyle="1" w:styleId="PieddepageCar" w:type="character">
    <w:name w:val="Pied de page Car"/>
    <w:basedOn w:val="Policepardfaut"/>
    <w:link w:val="Pieddepage"/>
    <w:uiPriority w:val="99"/>
    <w:rsid w:val="0092782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Reporting mensuel sur le risque de crédit - 2020-12-31 de Burkina</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mensuel sur le risque de crédit - 2020-12-31 de Burkina</dc:title>
  <dc:creator/>
  <cp:keywords/>
  <dcterms:created xsi:type="dcterms:W3CDTF">2022-02-10T18:55:27Z</dcterms:created>
  <dcterms:modified xsi:type="dcterms:W3CDTF">2022-02-10T18:55:27Z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2022-02-10 18:55:22</vt:lpwstr>
  </property>
  <property fmtid="{D5CDD505-2E9C-101B-9397-08002B2CF9AE}" pid="3" name="output">
    <vt:lpwstr/>
  </property>
  <property fmtid="{D5CDD505-2E9C-101B-9397-08002B2CF9AE}" pid="4" name="params">
    <vt:lpwstr/>
  </property>
</Properties>
</file>