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2A0" w:rsidRPr="009F5991" w:rsidRDefault="00BF157F" w:rsidP="002C2300">
      <w:pPr>
        <w:pBdr>
          <w:top w:val="threeDEmboss" w:sz="24" w:space="0" w:color="auto"/>
          <w:left w:val="threeDEmboss" w:sz="24" w:space="4" w:color="auto"/>
          <w:bottom w:val="threeDEngrave" w:sz="24" w:space="1" w:color="auto"/>
          <w:right w:val="threeDEngrave" w:sz="24" w:space="7" w:color="auto"/>
        </w:pBdr>
        <w:jc w:val="center"/>
        <w:rPr>
          <w:rFonts w:ascii="Comic Sans MS" w:hAnsi="Comic Sans MS"/>
        </w:rPr>
      </w:pPr>
      <w:r w:rsidRPr="00856106">
        <w:rPr>
          <w:noProof/>
        </w:rPr>
        <w:drawing>
          <wp:anchor distT="0" distB="0" distL="114300" distR="114300" simplePos="0" relativeHeight="251683840" behindDoc="0" locked="0" layoutInCell="1" allowOverlap="1" wp14:anchorId="4F56E61A" wp14:editId="33B2646C">
            <wp:simplePos x="0" y="0"/>
            <wp:positionH relativeFrom="margin">
              <wp:posOffset>-112478</wp:posOffset>
            </wp:positionH>
            <wp:positionV relativeFrom="paragraph">
              <wp:posOffset>579</wp:posOffset>
            </wp:positionV>
            <wp:extent cx="1714500" cy="733425"/>
            <wp:effectExtent l="0" t="0" r="0" b="9525"/>
            <wp:wrapTopAndBottom/>
            <wp:docPr id="4" name="Image 3" descr="C:\Users\esawadogo\AppData\Local\Microsoft\Windows\Temporary Internet Files\Content.Outlook\CWHIVV98\LOGO CORIS HOLDING_resized.png"/>
            <wp:cNvGraphicFramePr/>
            <a:graphic xmlns:a="http://schemas.openxmlformats.org/drawingml/2006/main">
              <a:graphicData uri="http://schemas.openxmlformats.org/drawingml/2006/picture">
                <pic:pic xmlns:pic="http://schemas.openxmlformats.org/drawingml/2006/picture">
                  <pic:nvPicPr>
                    <pic:cNvPr id="3" name="Image 2" descr="C:\Users\esawadogo\AppData\Local\Microsoft\Windows\Temporary Internet Files\Content.Outlook\CWHIVV98\LOGO CORIS HOLDING_resized.png"/>
                    <pic:cNvPicPr/>
                  </pic:nvPicPr>
                  <pic:blipFill>
                    <a:blip r:embed="rId8" cstate="print"/>
                    <a:srcRect/>
                    <a:stretch>
                      <a:fillRect/>
                    </a:stretch>
                  </pic:blipFill>
                  <pic:spPr bwMode="auto">
                    <a:xfrm>
                      <a:off x="0" y="0"/>
                      <a:ext cx="1714500" cy="733425"/>
                    </a:xfrm>
                    <a:prstGeom prst="rect">
                      <a:avLst/>
                    </a:prstGeom>
                    <a:noFill/>
                    <a:ln w="9525">
                      <a:noFill/>
                      <a:miter lim="800000"/>
                      <a:headEnd/>
                      <a:tailEnd/>
                    </a:ln>
                  </pic:spPr>
                </pic:pic>
              </a:graphicData>
            </a:graphic>
            <wp14:sizeRelV relativeFrom="margin">
              <wp14:pctHeight>0</wp14:pctHeight>
            </wp14:sizeRelV>
          </wp:anchor>
        </w:drawing>
      </w:r>
    </w:p>
    <w:p w:rsidR="00607EA7" w:rsidRPr="00BD28B9" w:rsidRDefault="006072A0" w:rsidP="002C2300">
      <w:pPr>
        <w:pBdr>
          <w:top w:val="threeDEmboss" w:sz="24" w:space="0" w:color="auto"/>
          <w:left w:val="threeDEmboss" w:sz="24" w:space="4" w:color="auto"/>
          <w:bottom w:val="threeDEngrave" w:sz="24" w:space="1" w:color="auto"/>
          <w:right w:val="threeDEngrave" w:sz="24" w:space="7" w:color="auto"/>
        </w:pBdr>
        <w:jc w:val="center"/>
        <w:rPr>
          <w:b/>
          <w:sz w:val="32"/>
          <w:szCs w:val="40"/>
        </w:rPr>
      </w:pPr>
      <w:r w:rsidRPr="00BD28B9">
        <w:rPr>
          <w:b/>
          <w:sz w:val="32"/>
          <w:szCs w:val="40"/>
        </w:rPr>
        <w:t xml:space="preserve">RAPPORT DE REVISION SEMESTRIELLE GLOBALE DU PORTEFEUILLE DE CORIS </w:t>
      </w:r>
      <w:r w:rsidR="00350076">
        <w:rPr>
          <w:b/>
          <w:sz w:val="32"/>
          <w:szCs w:val="40"/>
        </w:rPr>
        <w:t>HOLDING</w:t>
      </w:r>
    </w:p>
    <w:p w:rsidR="006072A0" w:rsidRPr="004C1B79" w:rsidRDefault="007F2582" w:rsidP="002C2300">
      <w:pPr>
        <w:pBdr>
          <w:top w:val="threeDEmboss" w:sz="24" w:space="0" w:color="auto"/>
          <w:left w:val="threeDEmboss" w:sz="24" w:space="4" w:color="auto"/>
          <w:bottom w:val="threeDEngrave" w:sz="24" w:space="1" w:color="auto"/>
          <w:right w:val="threeDEngrave" w:sz="24" w:space="7" w:color="auto"/>
        </w:pBdr>
        <w:jc w:val="center"/>
        <w:rPr>
          <w:b/>
          <w:sz w:val="32"/>
          <w:szCs w:val="40"/>
        </w:rPr>
      </w:pPr>
      <w:r w:rsidRPr="00BD28B9">
        <w:rPr>
          <w:b/>
          <w:sz w:val="32"/>
          <w:szCs w:val="40"/>
        </w:rPr>
        <w:t xml:space="preserve">AU </w:t>
      </w:r>
      <w:r w:rsidR="00BE5A35">
        <w:rPr>
          <w:b/>
          <w:sz w:val="32"/>
          <w:szCs w:val="40"/>
        </w:rPr>
        <w:t>30</w:t>
      </w:r>
      <w:r w:rsidR="00533847">
        <w:rPr>
          <w:b/>
          <w:sz w:val="32"/>
          <w:szCs w:val="40"/>
        </w:rPr>
        <w:t xml:space="preserve"> </w:t>
      </w:r>
      <w:r w:rsidR="00BE5A35">
        <w:rPr>
          <w:b/>
          <w:sz w:val="32"/>
          <w:szCs w:val="40"/>
        </w:rPr>
        <w:t>JUIN 2021</w:t>
      </w:r>
    </w:p>
    <w:sdt>
      <w:sdtPr>
        <w:rPr>
          <w:rFonts w:ascii="Times New Roman" w:eastAsia="Times New Roman" w:hAnsi="Times New Roman" w:cs="Times New Roman"/>
          <w:color w:val="auto"/>
          <w:sz w:val="24"/>
          <w:szCs w:val="24"/>
        </w:rPr>
        <w:id w:val="995773788"/>
        <w:docPartObj>
          <w:docPartGallery w:val="Table of Contents"/>
          <w:docPartUnique/>
        </w:docPartObj>
      </w:sdtPr>
      <w:sdtEndPr>
        <w:rPr>
          <w:b/>
          <w:bCs/>
        </w:rPr>
      </w:sdtEndPr>
      <w:sdtContent>
        <w:p w:rsidR="002C2300" w:rsidRDefault="002C2300">
          <w:pPr>
            <w:pStyle w:val="En-ttedetabledesmatires"/>
            <w:rPr>
              <w:rFonts w:ascii="Times New Roman" w:eastAsia="Times New Roman" w:hAnsi="Times New Roman" w:cs="Times New Roman"/>
              <w:color w:val="auto"/>
              <w:sz w:val="24"/>
              <w:szCs w:val="24"/>
            </w:rPr>
          </w:pPr>
        </w:p>
        <w:p w:rsidR="00FD55F7" w:rsidRDefault="00FD55F7">
          <w:pPr>
            <w:pStyle w:val="En-ttedetabledesmatires"/>
            <w:rPr>
              <w:b/>
            </w:rPr>
          </w:pPr>
          <w:r w:rsidRPr="000E7893">
            <w:rPr>
              <w:b/>
            </w:rPr>
            <w:t>Table des matières</w:t>
          </w:r>
        </w:p>
        <w:p w:rsidR="000E7893" w:rsidRPr="000E7893" w:rsidRDefault="000E7893" w:rsidP="000E7893"/>
        <w:p w:rsidR="005C023C" w:rsidRPr="005C023C" w:rsidRDefault="005C023C" w:rsidP="005C023C"/>
        <w:p w:rsidR="00007995" w:rsidRDefault="00FD55F7">
          <w:pPr>
            <w:pStyle w:val="TM1"/>
            <w:rPr>
              <w:rFonts w:asciiTheme="minorHAnsi" w:eastAsiaTheme="minorEastAsia" w:hAnsiTheme="minorHAnsi" w:cstheme="minorBidi"/>
              <w:b w:val="0"/>
              <w:sz w:val="22"/>
              <w:szCs w:val="22"/>
            </w:rPr>
          </w:pPr>
          <w:r w:rsidRPr="001B71BA">
            <w:fldChar w:fldCharType="begin"/>
          </w:r>
          <w:r w:rsidRPr="001B71BA">
            <w:instrText xml:space="preserve"> TOC \o "1-3" \h \z \u </w:instrText>
          </w:r>
          <w:r w:rsidRPr="001B71BA">
            <w:fldChar w:fldCharType="separate"/>
          </w:r>
          <w:hyperlink w:anchor="_Toc79511679" w:history="1">
            <w:r w:rsidR="00007995" w:rsidRPr="00AD51B2">
              <w:rPr>
                <w:rStyle w:val="Lienhypertexte"/>
              </w:rPr>
              <w:t>1</w:t>
            </w:r>
            <w:r w:rsidR="00007995">
              <w:rPr>
                <w:rFonts w:asciiTheme="minorHAnsi" w:eastAsiaTheme="minorEastAsia" w:hAnsiTheme="minorHAnsi" w:cstheme="minorBidi"/>
                <w:b w:val="0"/>
                <w:sz w:val="22"/>
                <w:szCs w:val="22"/>
              </w:rPr>
              <w:tab/>
            </w:r>
            <w:r w:rsidR="00007995" w:rsidRPr="00AD51B2">
              <w:rPr>
                <w:rStyle w:val="Lienhypertexte"/>
              </w:rPr>
              <w:t>DISPOSITIF DE GESTION DU RISQUE DE CREDIT</w:t>
            </w:r>
            <w:r w:rsidR="00007995">
              <w:rPr>
                <w:webHidden/>
              </w:rPr>
              <w:tab/>
            </w:r>
            <w:r w:rsidR="00007995">
              <w:rPr>
                <w:webHidden/>
              </w:rPr>
              <w:fldChar w:fldCharType="begin"/>
            </w:r>
            <w:r w:rsidR="00007995">
              <w:rPr>
                <w:webHidden/>
              </w:rPr>
              <w:instrText xml:space="preserve"> PAGEREF _Toc79511679 \h </w:instrText>
            </w:r>
            <w:r w:rsidR="00007995">
              <w:rPr>
                <w:webHidden/>
              </w:rPr>
            </w:r>
            <w:r w:rsidR="00007995">
              <w:rPr>
                <w:webHidden/>
              </w:rPr>
              <w:fldChar w:fldCharType="separate"/>
            </w:r>
            <w:r w:rsidR="00007995">
              <w:rPr>
                <w:webHidden/>
              </w:rPr>
              <w:t>2</w:t>
            </w:r>
            <w:r w:rsidR="00007995">
              <w:rPr>
                <w:webHidden/>
              </w:rPr>
              <w:fldChar w:fldCharType="end"/>
            </w:r>
          </w:hyperlink>
        </w:p>
        <w:p w:rsidR="00007995" w:rsidRPr="00007995" w:rsidRDefault="00081095">
          <w:pPr>
            <w:pStyle w:val="TM2"/>
            <w:tabs>
              <w:tab w:val="left" w:pos="880"/>
              <w:tab w:val="right" w:leader="dot" w:pos="9204"/>
            </w:tabs>
            <w:rPr>
              <w:rFonts w:asciiTheme="minorHAnsi" w:eastAsiaTheme="minorEastAsia" w:hAnsiTheme="minorHAnsi" w:cstheme="minorBidi"/>
              <w:noProof/>
              <w:sz w:val="22"/>
              <w:szCs w:val="22"/>
            </w:rPr>
          </w:pPr>
          <w:hyperlink w:anchor="_Toc79511680" w:history="1">
            <w:r w:rsidR="00007995" w:rsidRPr="00007995">
              <w:rPr>
                <w:rStyle w:val="Lienhypertexte"/>
                <w:i/>
                <w:noProof/>
              </w:rPr>
              <w:t>1.1.</w:t>
            </w:r>
            <w:r w:rsidR="00007995" w:rsidRPr="00007995">
              <w:rPr>
                <w:rFonts w:asciiTheme="minorHAnsi" w:eastAsiaTheme="minorEastAsia" w:hAnsiTheme="minorHAnsi" w:cstheme="minorBidi"/>
                <w:noProof/>
                <w:sz w:val="22"/>
                <w:szCs w:val="22"/>
              </w:rPr>
              <w:tab/>
            </w:r>
            <w:r w:rsidR="00007995" w:rsidRPr="00007995">
              <w:rPr>
                <w:rStyle w:val="Lienhypertexte"/>
                <w:noProof/>
              </w:rPr>
              <w:t>Organisation de la gestion et de la révision du portefeuille de crédits</w:t>
            </w:r>
            <w:r w:rsidR="00007995" w:rsidRPr="00007995">
              <w:rPr>
                <w:noProof/>
                <w:webHidden/>
              </w:rPr>
              <w:tab/>
            </w:r>
            <w:r w:rsidR="00007995" w:rsidRPr="00007995">
              <w:rPr>
                <w:noProof/>
                <w:webHidden/>
              </w:rPr>
              <w:fldChar w:fldCharType="begin"/>
            </w:r>
            <w:r w:rsidR="00007995" w:rsidRPr="00007995">
              <w:rPr>
                <w:noProof/>
                <w:webHidden/>
              </w:rPr>
              <w:instrText xml:space="preserve"> PAGEREF _Toc79511680 \h </w:instrText>
            </w:r>
            <w:r w:rsidR="00007995" w:rsidRPr="00007995">
              <w:rPr>
                <w:noProof/>
                <w:webHidden/>
              </w:rPr>
            </w:r>
            <w:r w:rsidR="00007995" w:rsidRPr="00007995">
              <w:rPr>
                <w:noProof/>
                <w:webHidden/>
              </w:rPr>
              <w:fldChar w:fldCharType="separate"/>
            </w:r>
            <w:r w:rsidR="00007995" w:rsidRPr="00007995">
              <w:rPr>
                <w:noProof/>
                <w:webHidden/>
              </w:rPr>
              <w:t>2</w:t>
            </w:r>
            <w:r w:rsidR="00007995" w:rsidRPr="00007995">
              <w:rPr>
                <w:noProof/>
                <w:webHidden/>
              </w:rPr>
              <w:fldChar w:fldCharType="end"/>
            </w:r>
          </w:hyperlink>
        </w:p>
        <w:p w:rsidR="00007995" w:rsidRPr="00007995" w:rsidRDefault="00081095">
          <w:pPr>
            <w:pStyle w:val="TM2"/>
            <w:tabs>
              <w:tab w:val="left" w:pos="880"/>
              <w:tab w:val="right" w:leader="dot" w:pos="9204"/>
            </w:tabs>
            <w:rPr>
              <w:rFonts w:asciiTheme="minorHAnsi" w:eastAsiaTheme="minorEastAsia" w:hAnsiTheme="minorHAnsi" w:cstheme="minorBidi"/>
              <w:noProof/>
              <w:sz w:val="22"/>
              <w:szCs w:val="22"/>
            </w:rPr>
          </w:pPr>
          <w:hyperlink w:anchor="_Toc79511681" w:history="1">
            <w:r w:rsidR="00007995" w:rsidRPr="00007995">
              <w:rPr>
                <w:rStyle w:val="Lienhypertexte"/>
                <w:noProof/>
              </w:rPr>
              <w:t>1.2.</w:t>
            </w:r>
            <w:r w:rsidR="00007995" w:rsidRPr="00007995">
              <w:rPr>
                <w:rFonts w:asciiTheme="minorHAnsi" w:eastAsiaTheme="minorEastAsia" w:hAnsiTheme="minorHAnsi" w:cstheme="minorBidi"/>
                <w:noProof/>
                <w:sz w:val="22"/>
                <w:szCs w:val="22"/>
              </w:rPr>
              <w:tab/>
            </w:r>
            <w:r w:rsidR="00007995" w:rsidRPr="00007995">
              <w:rPr>
                <w:rStyle w:val="Lienhypertexte"/>
                <w:noProof/>
              </w:rPr>
              <w:t>Politiques et procédures de prise de risques de crédit ou d’engagement</w:t>
            </w:r>
            <w:r w:rsidR="00007995" w:rsidRPr="00007995">
              <w:rPr>
                <w:noProof/>
                <w:webHidden/>
              </w:rPr>
              <w:tab/>
            </w:r>
            <w:r w:rsidR="00007995" w:rsidRPr="00007995">
              <w:rPr>
                <w:noProof/>
                <w:webHidden/>
              </w:rPr>
              <w:fldChar w:fldCharType="begin"/>
            </w:r>
            <w:r w:rsidR="00007995" w:rsidRPr="00007995">
              <w:rPr>
                <w:noProof/>
                <w:webHidden/>
              </w:rPr>
              <w:instrText xml:space="preserve"> PAGEREF _Toc79511681 \h </w:instrText>
            </w:r>
            <w:r w:rsidR="00007995" w:rsidRPr="00007995">
              <w:rPr>
                <w:noProof/>
                <w:webHidden/>
              </w:rPr>
            </w:r>
            <w:r w:rsidR="00007995" w:rsidRPr="00007995">
              <w:rPr>
                <w:noProof/>
                <w:webHidden/>
              </w:rPr>
              <w:fldChar w:fldCharType="separate"/>
            </w:r>
            <w:r w:rsidR="00007995" w:rsidRPr="00007995">
              <w:rPr>
                <w:noProof/>
                <w:webHidden/>
              </w:rPr>
              <w:t>3</w:t>
            </w:r>
            <w:r w:rsidR="00007995" w:rsidRPr="00007995">
              <w:rPr>
                <w:noProof/>
                <w:webHidden/>
              </w:rPr>
              <w:fldChar w:fldCharType="end"/>
            </w:r>
          </w:hyperlink>
        </w:p>
        <w:p w:rsidR="00007995" w:rsidRPr="00007995" w:rsidRDefault="00081095">
          <w:pPr>
            <w:pStyle w:val="TM2"/>
            <w:tabs>
              <w:tab w:val="left" w:pos="880"/>
              <w:tab w:val="right" w:leader="dot" w:pos="9204"/>
            </w:tabs>
            <w:rPr>
              <w:rFonts w:asciiTheme="minorHAnsi" w:eastAsiaTheme="minorEastAsia" w:hAnsiTheme="minorHAnsi" w:cstheme="minorBidi"/>
              <w:noProof/>
              <w:sz w:val="22"/>
              <w:szCs w:val="22"/>
            </w:rPr>
          </w:pPr>
          <w:hyperlink w:anchor="_Toc79511682" w:history="1">
            <w:r w:rsidR="00007995" w:rsidRPr="00007995">
              <w:rPr>
                <w:rStyle w:val="Lienhypertexte"/>
                <w:noProof/>
              </w:rPr>
              <w:t>1.3.</w:t>
            </w:r>
            <w:r w:rsidR="00007995" w:rsidRPr="00007995">
              <w:rPr>
                <w:rFonts w:asciiTheme="minorHAnsi" w:eastAsiaTheme="minorEastAsia" w:hAnsiTheme="minorHAnsi" w:cstheme="minorBidi"/>
                <w:noProof/>
                <w:sz w:val="22"/>
                <w:szCs w:val="22"/>
              </w:rPr>
              <w:tab/>
            </w:r>
            <w:r w:rsidR="00007995" w:rsidRPr="00007995">
              <w:rPr>
                <w:rStyle w:val="Lienhypertexte"/>
                <w:noProof/>
              </w:rPr>
              <w:t>Système de cotation des risques</w:t>
            </w:r>
            <w:r w:rsidR="00007995" w:rsidRPr="00007995">
              <w:rPr>
                <w:noProof/>
                <w:webHidden/>
              </w:rPr>
              <w:tab/>
            </w:r>
            <w:r w:rsidR="00007995" w:rsidRPr="00007995">
              <w:rPr>
                <w:noProof/>
                <w:webHidden/>
              </w:rPr>
              <w:fldChar w:fldCharType="begin"/>
            </w:r>
            <w:r w:rsidR="00007995" w:rsidRPr="00007995">
              <w:rPr>
                <w:noProof/>
                <w:webHidden/>
              </w:rPr>
              <w:instrText xml:space="preserve"> PAGEREF _Toc79511682 \h </w:instrText>
            </w:r>
            <w:r w:rsidR="00007995" w:rsidRPr="00007995">
              <w:rPr>
                <w:noProof/>
                <w:webHidden/>
              </w:rPr>
            </w:r>
            <w:r w:rsidR="00007995" w:rsidRPr="00007995">
              <w:rPr>
                <w:noProof/>
                <w:webHidden/>
              </w:rPr>
              <w:fldChar w:fldCharType="separate"/>
            </w:r>
            <w:r w:rsidR="00007995" w:rsidRPr="00007995">
              <w:rPr>
                <w:noProof/>
                <w:webHidden/>
              </w:rPr>
              <w:t>3</w:t>
            </w:r>
            <w:r w:rsidR="00007995" w:rsidRPr="00007995">
              <w:rPr>
                <w:noProof/>
                <w:webHidden/>
              </w:rPr>
              <w:fldChar w:fldCharType="end"/>
            </w:r>
          </w:hyperlink>
        </w:p>
        <w:p w:rsidR="00007995" w:rsidRDefault="00081095">
          <w:pPr>
            <w:pStyle w:val="TM1"/>
            <w:rPr>
              <w:rFonts w:asciiTheme="minorHAnsi" w:eastAsiaTheme="minorEastAsia" w:hAnsiTheme="minorHAnsi" w:cstheme="minorBidi"/>
              <w:b w:val="0"/>
              <w:sz w:val="22"/>
              <w:szCs w:val="22"/>
            </w:rPr>
          </w:pPr>
          <w:hyperlink w:anchor="_Toc79511683" w:history="1">
            <w:r w:rsidR="00007995" w:rsidRPr="00AD51B2">
              <w:rPr>
                <w:rStyle w:val="Lienhypertexte"/>
              </w:rPr>
              <w:t>2</w:t>
            </w:r>
            <w:r w:rsidR="00007995">
              <w:rPr>
                <w:rFonts w:asciiTheme="minorHAnsi" w:eastAsiaTheme="minorEastAsia" w:hAnsiTheme="minorHAnsi" w:cstheme="minorBidi"/>
                <w:b w:val="0"/>
                <w:sz w:val="22"/>
                <w:szCs w:val="22"/>
              </w:rPr>
              <w:tab/>
            </w:r>
            <w:r w:rsidR="00007995" w:rsidRPr="00AD51B2">
              <w:rPr>
                <w:rStyle w:val="Lienhypertexte"/>
              </w:rPr>
              <w:t>SITUATION DU PORTEFEUILLE</w:t>
            </w:r>
            <w:r w:rsidR="00007995">
              <w:rPr>
                <w:webHidden/>
              </w:rPr>
              <w:tab/>
            </w:r>
            <w:r w:rsidR="00007995">
              <w:rPr>
                <w:webHidden/>
              </w:rPr>
              <w:fldChar w:fldCharType="begin"/>
            </w:r>
            <w:r w:rsidR="00007995">
              <w:rPr>
                <w:webHidden/>
              </w:rPr>
              <w:instrText xml:space="preserve"> PAGEREF _Toc79511683 \h </w:instrText>
            </w:r>
            <w:r w:rsidR="00007995">
              <w:rPr>
                <w:webHidden/>
              </w:rPr>
            </w:r>
            <w:r w:rsidR="00007995">
              <w:rPr>
                <w:webHidden/>
              </w:rPr>
              <w:fldChar w:fldCharType="separate"/>
            </w:r>
            <w:r w:rsidR="00007995">
              <w:rPr>
                <w:webHidden/>
              </w:rPr>
              <w:t>6</w:t>
            </w:r>
            <w:r w:rsidR="00007995">
              <w:rPr>
                <w:webHidden/>
              </w:rPr>
              <w:fldChar w:fldCharType="end"/>
            </w:r>
          </w:hyperlink>
        </w:p>
        <w:p w:rsidR="00007995" w:rsidRPr="00007995" w:rsidRDefault="00081095">
          <w:pPr>
            <w:pStyle w:val="TM2"/>
            <w:tabs>
              <w:tab w:val="right" w:leader="dot" w:pos="9204"/>
            </w:tabs>
            <w:rPr>
              <w:rFonts w:asciiTheme="minorHAnsi" w:eastAsiaTheme="minorEastAsia" w:hAnsiTheme="minorHAnsi" w:cstheme="minorBidi"/>
              <w:noProof/>
              <w:sz w:val="22"/>
              <w:szCs w:val="22"/>
            </w:rPr>
          </w:pPr>
          <w:hyperlink w:anchor="_Toc79511684" w:history="1">
            <w:r w:rsidR="00007995" w:rsidRPr="00007995">
              <w:rPr>
                <w:rStyle w:val="Lienhypertexte"/>
                <w:noProof/>
              </w:rPr>
              <w:t>2.1. Evolution du portefeuille de crédit du Groupe Coris au 30 juin 2021</w:t>
            </w:r>
            <w:r w:rsidR="00007995" w:rsidRPr="00007995">
              <w:rPr>
                <w:noProof/>
                <w:webHidden/>
              </w:rPr>
              <w:tab/>
            </w:r>
            <w:r w:rsidR="00007995" w:rsidRPr="00007995">
              <w:rPr>
                <w:noProof/>
                <w:webHidden/>
              </w:rPr>
              <w:fldChar w:fldCharType="begin"/>
            </w:r>
            <w:r w:rsidR="00007995" w:rsidRPr="00007995">
              <w:rPr>
                <w:noProof/>
                <w:webHidden/>
              </w:rPr>
              <w:instrText xml:space="preserve"> PAGEREF _Toc79511684 \h </w:instrText>
            </w:r>
            <w:r w:rsidR="00007995" w:rsidRPr="00007995">
              <w:rPr>
                <w:noProof/>
                <w:webHidden/>
              </w:rPr>
            </w:r>
            <w:r w:rsidR="00007995" w:rsidRPr="00007995">
              <w:rPr>
                <w:noProof/>
                <w:webHidden/>
              </w:rPr>
              <w:fldChar w:fldCharType="separate"/>
            </w:r>
            <w:r w:rsidR="00007995" w:rsidRPr="00007995">
              <w:rPr>
                <w:noProof/>
                <w:webHidden/>
              </w:rPr>
              <w:t>6</w:t>
            </w:r>
            <w:r w:rsidR="00007995" w:rsidRPr="00007995">
              <w:rPr>
                <w:noProof/>
                <w:webHidden/>
              </w:rPr>
              <w:fldChar w:fldCharType="end"/>
            </w:r>
          </w:hyperlink>
        </w:p>
        <w:p w:rsidR="00007995" w:rsidRPr="00007995" w:rsidRDefault="00081095">
          <w:pPr>
            <w:pStyle w:val="TM2"/>
            <w:tabs>
              <w:tab w:val="right" w:leader="dot" w:pos="9204"/>
            </w:tabs>
            <w:rPr>
              <w:rFonts w:asciiTheme="minorHAnsi" w:eastAsiaTheme="minorEastAsia" w:hAnsiTheme="minorHAnsi" w:cstheme="minorBidi"/>
              <w:noProof/>
              <w:sz w:val="22"/>
              <w:szCs w:val="22"/>
            </w:rPr>
          </w:pPr>
          <w:hyperlink w:anchor="_Toc79511685" w:history="1">
            <w:r w:rsidR="00007995" w:rsidRPr="00007995">
              <w:rPr>
                <w:rStyle w:val="Lienhypertexte"/>
                <w:noProof/>
              </w:rPr>
              <w:t>2.2. La concentration du risque (cinquante plus gros engagements)</w:t>
            </w:r>
            <w:r w:rsidR="00007995" w:rsidRPr="00007995">
              <w:rPr>
                <w:noProof/>
                <w:webHidden/>
              </w:rPr>
              <w:tab/>
            </w:r>
            <w:r w:rsidR="00007995" w:rsidRPr="00007995">
              <w:rPr>
                <w:noProof/>
                <w:webHidden/>
              </w:rPr>
              <w:fldChar w:fldCharType="begin"/>
            </w:r>
            <w:r w:rsidR="00007995" w:rsidRPr="00007995">
              <w:rPr>
                <w:noProof/>
                <w:webHidden/>
              </w:rPr>
              <w:instrText xml:space="preserve"> PAGEREF _Toc79511685 \h </w:instrText>
            </w:r>
            <w:r w:rsidR="00007995" w:rsidRPr="00007995">
              <w:rPr>
                <w:noProof/>
                <w:webHidden/>
              </w:rPr>
            </w:r>
            <w:r w:rsidR="00007995" w:rsidRPr="00007995">
              <w:rPr>
                <w:noProof/>
                <w:webHidden/>
              </w:rPr>
              <w:fldChar w:fldCharType="separate"/>
            </w:r>
            <w:r w:rsidR="00007995" w:rsidRPr="00007995">
              <w:rPr>
                <w:noProof/>
                <w:webHidden/>
              </w:rPr>
              <w:t>7</w:t>
            </w:r>
            <w:r w:rsidR="00007995" w:rsidRPr="00007995">
              <w:rPr>
                <w:noProof/>
                <w:webHidden/>
              </w:rPr>
              <w:fldChar w:fldCharType="end"/>
            </w:r>
          </w:hyperlink>
        </w:p>
        <w:p w:rsidR="00007995" w:rsidRDefault="00081095">
          <w:pPr>
            <w:pStyle w:val="TM1"/>
            <w:rPr>
              <w:rFonts w:asciiTheme="minorHAnsi" w:eastAsiaTheme="minorEastAsia" w:hAnsiTheme="minorHAnsi" w:cstheme="minorBidi"/>
              <w:b w:val="0"/>
              <w:sz w:val="22"/>
              <w:szCs w:val="22"/>
            </w:rPr>
          </w:pPr>
          <w:hyperlink w:anchor="_Toc79511686" w:history="1">
            <w:r w:rsidR="00007995" w:rsidRPr="00AD51B2">
              <w:rPr>
                <w:rStyle w:val="Lienhypertexte"/>
              </w:rPr>
              <w:t>3</w:t>
            </w:r>
            <w:r w:rsidR="00007995">
              <w:rPr>
                <w:rFonts w:asciiTheme="minorHAnsi" w:eastAsiaTheme="minorEastAsia" w:hAnsiTheme="minorHAnsi" w:cstheme="minorBidi"/>
                <w:b w:val="0"/>
                <w:sz w:val="22"/>
                <w:szCs w:val="22"/>
              </w:rPr>
              <w:tab/>
            </w:r>
            <w:r w:rsidR="00007995" w:rsidRPr="00AD51B2">
              <w:rPr>
                <w:rStyle w:val="Lienhypertexte"/>
              </w:rPr>
              <w:t>REVISION DU PORTEFEUILLE</w:t>
            </w:r>
            <w:r w:rsidR="00007995">
              <w:rPr>
                <w:webHidden/>
              </w:rPr>
              <w:tab/>
            </w:r>
            <w:r w:rsidR="00007995">
              <w:rPr>
                <w:webHidden/>
              </w:rPr>
              <w:fldChar w:fldCharType="begin"/>
            </w:r>
            <w:r w:rsidR="00007995">
              <w:rPr>
                <w:webHidden/>
              </w:rPr>
              <w:instrText xml:space="preserve"> PAGEREF _Toc79511686 \h </w:instrText>
            </w:r>
            <w:r w:rsidR="00007995">
              <w:rPr>
                <w:webHidden/>
              </w:rPr>
            </w:r>
            <w:r w:rsidR="00007995">
              <w:rPr>
                <w:webHidden/>
              </w:rPr>
              <w:fldChar w:fldCharType="separate"/>
            </w:r>
            <w:r w:rsidR="00007995">
              <w:rPr>
                <w:webHidden/>
              </w:rPr>
              <w:t>8</w:t>
            </w:r>
            <w:r w:rsidR="00007995">
              <w:rPr>
                <w:webHidden/>
              </w:rPr>
              <w:fldChar w:fldCharType="end"/>
            </w:r>
          </w:hyperlink>
        </w:p>
        <w:p w:rsidR="00007995" w:rsidRPr="00007995" w:rsidRDefault="00081095">
          <w:pPr>
            <w:pStyle w:val="TM2"/>
            <w:tabs>
              <w:tab w:val="right" w:leader="dot" w:pos="9204"/>
            </w:tabs>
            <w:rPr>
              <w:rFonts w:asciiTheme="minorHAnsi" w:eastAsiaTheme="minorEastAsia" w:hAnsiTheme="minorHAnsi" w:cstheme="minorBidi"/>
              <w:noProof/>
              <w:sz w:val="22"/>
              <w:szCs w:val="22"/>
            </w:rPr>
          </w:pPr>
          <w:hyperlink w:anchor="_Toc79511687" w:history="1">
            <w:r w:rsidR="00007995" w:rsidRPr="00007995">
              <w:rPr>
                <w:rStyle w:val="Lienhypertexte"/>
                <w:noProof/>
              </w:rPr>
              <w:t>3.1. Objectif</w:t>
            </w:r>
            <w:r w:rsidR="00007995" w:rsidRPr="00007995">
              <w:rPr>
                <w:noProof/>
                <w:webHidden/>
              </w:rPr>
              <w:tab/>
            </w:r>
            <w:r w:rsidR="00007995" w:rsidRPr="00007995">
              <w:rPr>
                <w:noProof/>
                <w:webHidden/>
              </w:rPr>
              <w:fldChar w:fldCharType="begin"/>
            </w:r>
            <w:r w:rsidR="00007995" w:rsidRPr="00007995">
              <w:rPr>
                <w:noProof/>
                <w:webHidden/>
              </w:rPr>
              <w:instrText xml:space="preserve"> PAGEREF _Toc79511687 \h </w:instrText>
            </w:r>
            <w:r w:rsidR="00007995" w:rsidRPr="00007995">
              <w:rPr>
                <w:noProof/>
                <w:webHidden/>
              </w:rPr>
            </w:r>
            <w:r w:rsidR="00007995" w:rsidRPr="00007995">
              <w:rPr>
                <w:noProof/>
                <w:webHidden/>
              </w:rPr>
              <w:fldChar w:fldCharType="separate"/>
            </w:r>
            <w:r w:rsidR="00007995" w:rsidRPr="00007995">
              <w:rPr>
                <w:noProof/>
                <w:webHidden/>
              </w:rPr>
              <w:t>8</w:t>
            </w:r>
            <w:r w:rsidR="00007995" w:rsidRPr="00007995">
              <w:rPr>
                <w:noProof/>
                <w:webHidden/>
              </w:rPr>
              <w:fldChar w:fldCharType="end"/>
            </w:r>
          </w:hyperlink>
        </w:p>
        <w:p w:rsidR="00007995" w:rsidRPr="00007995" w:rsidRDefault="00081095">
          <w:pPr>
            <w:pStyle w:val="TM2"/>
            <w:tabs>
              <w:tab w:val="right" w:leader="dot" w:pos="9204"/>
            </w:tabs>
            <w:rPr>
              <w:rFonts w:asciiTheme="minorHAnsi" w:eastAsiaTheme="minorEastAsia" w:hAnsiTheme="minorHAnsi" w:cstheme="minorBidi"/>
              <w:noProof/>
              <w:sz w:val="22"/>
              <w:szCs w:val="22"/>
            </w:rPr>
          </w:pPr>
          <w:hyperlink w:anchor="_Toc79511688" w:history="1">
            <w:r w:rsidR="00007995" w:rsidRPr="00007995">
              <w:rPr>
                <w:rStyle w:val="Lienhypertexte"/>
                <w:noProof/>
              </w:rPr>
              <w:t>3.2. Méthodologie de la révision</w:t>
            </w:r>
            <w:r w:rsidR="00007995" w:rsidRPr="00007995">
              <w:rPr>
                <w:noProof/>
                <w:webHidden/>
              </w:rPr>
              <w:tab/>
            </w:r>
            <w:r w:rsidR="00007995" w:rsidRPr="00007995">
              <w:rPr>
                <w:noProof/>
                <w:webHidden/>
              </w:rPr>
              <w:fldChar w:fldCharType="begin"/>
            </w:r>
            <w:r w:rsidR="00007995" w:rsidRPr="00007995">
              <w:rPr>
                <w:noProof/>
                <w:webHidden/>
              </w:rPr>
              <w:instrText xml:space="preserve"> PAGEREF _Toc79511688 \h </w:instrText>
            </w:r>
            <w:r w:rsidR="00007995" w:rsidRPr="00007995">
              <w:rPr>
                <w:noProof/>
                <w:webHidden/>
              </w:rPr>
            </w:r>
            <w:r w:rsidR="00007995" w:rsidRPr="00007995">
              <w:rPr>
                <w:noProof/>
                <w:webHidden/>
              </w:rPr>
              <w:fldChar w:fldCharType="separate"/>
            </w:r>
            <w:r w:rsidR="00007995" w:rsidRPr="00007995">
              <w:rPr>
                <w:noProof/>
                <w:webHidden/>
              </w:rPr>
              <w:t>9</w:t>
            </w:r>
            <w:r w:rsidR="00007995" w:rsidRPr="00007995">
              <w:rPr>
                <w:noProof/>
                <w:webHidden/>
              </w:rPr>
              <w:fldChar w:fldCharType="end"/>
            </w:r>
          </w:hyperlink>
        </w:p>
        <w:p w:rsidR="00007995" w:rsidRPr="00007995" w:rsidRDefault="00081095">
          <w:pPr>
            <w:pStyle w:val="TM2"/>
            <w:tabs>
              <w:tab w:val="right" w:leader="dot" w:pos="9204"/>
            </w:tabs>
            <w:rPr>
              <w:rFonts w:asciiTheme="minorHAnsi" w:eastAsiaTheme="minorEastAsia" w:hAnsiTheme="minorHAnsi" w:cstheme="minorBidi"/>
              <w:noProof/>
              <w:sz w:val="22"/>
              <w:szCs w:val="22"/>
            </w:rPr>
          </w:pPr>
          <w:hyperlink w:anchor="_Toc79511689" w:history="1">
            <w:r w:rsidR="00007995" w:rsidRPr="00007995">
              <w:rPr>
                <w:rStyle w:val="Lienhypertexte"/>
                <w:noProof/>
              </w:rPr>
              <w:t>3.3. Etendue de la révision</w:t>
            </w:r>
            <w:r w:rsidR="00007995" w:rsidRPr="00007995">
              <w:rPr>
                <w:noProof/>
                <w:webHidden/>
              </w:rPr>
              <w:tab/>
            </w:r>
            <w:r w:rsidR="00007995" w:rsidRPr="00007995">
              <w:rPr>
                <w:noProof/>
                <w:webHidden/>
              </w:rPr>
              <w:fldChar w:fldCharType="begin"/>
            </w:r>
            <w:r w:rsidR="00007995" w:rsidRPr="00007995">
              <w:rPr>
                <w:noProof/>
                <w:webHidden/>
              </w:rPr>
              <w:instrText xml:space="preserve"> PAGEREF _Toc79511689 \h </w:instrText>
            </w:r>
            <w:r w:rsidR="00007995" w:rsidRPr="00007995">
              <w:rPr>
                <w:noProof/>
                <w:webHidden/>
              </w:rPr>
            </w:r>
            <w:r w:rsidR="00007995" w:rsidRPr="00007995">
              <w:rPr>
                <w:noProof/>
                <w:webHidden/>
              </w:rPr>
              <w:fldChar w:fldCharType="separate"/>
            </w:r>
            <w:r w:rsidR="00007995" w:rsidRPr="00007995">
              <w:rPr>
                <w:noProof/>
                <w:webHidden/>
              </w:rPr>
              <w:t>9</w:t>
            </w:r>
            <w:r w:rsidR="00007995" w:rsidRPr="00007995">
              <w:rPr>
                <w:noProof/>
                <w:webHidden/>
              </w:rPr>
              <w:fldChar w:fldCharType="end"/>
            </w:r>
          </w:hyperlink>
        </w:p>
        <w:p w:rsidR="00007995" w:rsidRPr="00007995" w:rsidRDefault="00081095">
          <w:pPr>
            <w:pStyle w:val="TM2"/>
            <w:tabs>
              <w:tab w:val="right" w:leader="dot" w:pos="9204"/>
            </w:tabs>
            <w:rPr>
              <w:rFonts w:asciiTheme="minorHAnsi" w:eastAsiaTheme="minorEastAsia" w:hAnsiTheme="minorHAnsi" w:cstheme="minorBidi"/>
              <w:noProof/>
              <w:sz w:val="22"/>
              <w:szCs w:val="22"/>
            </w:rPr>
          </w:pPr>
          <w:hyperlink w:anchor="_Toc79511690" w:history="1">
            <w:r w:rsidR="00007995" w:rsidRPr="00007995">
              <w:rPr>
                <w:rStyle w:val="Lienhypertexte"/>
                <w:noProof/>
              </w:rPr>
              <w:t>3.4. Règles de déclassement et de provisionnement utilisées</w:t>
            </w:r>
            <w:r w:rsidR="00007995" w:rsidRPr="00007995">
              <w:rPr>
                <w:noProof/>
                <w:webHidden/>
              </w:rPr>
              <w:tab/>
            </w:r>
            <w:r w:rsidR="00007995" w:rsidRPr="00007995">
              <w:rPr>
                <w:noProof/>
                <w:webHidden/>
              </w:rPr>
              <w:fldChar w:fldCharType="begin"/>
            </w:r>
            <w:r w:rsidR="00007995" w:rsidRPr="00007995">
              <w:rPr>
                <w:noProof/>
                <w:webHidden/>
              </w:rPr>
              <w:instrText xml:space="preserve"> PAGEREF _Toc79511690 \h </w:instrText>
            </w:r>
            <w:r w:rsidR="00007995" w:rsidRPr="00007995">
              <w:rPr>
                <w:noProof/>
                <w:webHidden/>
              </w:rPr>
            </w:r>
            <w:r w:rsidR="00007995" w:rsidRPr="00007995">
              <w:rPr>
                <w:noProof/>
                <w:webHidden/>
              </w:rPr>
              <w:fldChar w:fldCharType="separate"/>
            </w:r>
            <w:r w:rsidR="00007995" w:rsidRPr="00007995">
              <w:rPr>
                <w:noProof/>
                <w:webHidden/>
              </w:rPr>
              <w:t>9</w:t>
            </w:r>
            <w:r w:rsidR="00007995" w:rsidRPr="00007995">
              <w:rPr>
                <w:noProof/>
                <w:webHidden/>
              </w:rPr>
              <w:fldChar w:fldCharType="end"/>
            </w:r>
          </w:hyperlink>
        </w:p>
        <w:p w:rsidR="00007995" w:rsidRDefault="00081095">
          <w:pPr>
            <w:pStyle w:val="TM1"/>
            <w:rPr>
              <w:rFonts w:asciiTheme="minorHAnsi" w:eastAsiaTheme="minorEastAsia" w:hAnsiTheme="minorHAnsi" w:cstheme="minorBidi"/>
              <w:b w:val="0"/>
              <w:sz w:val="22"/>
              <w:szCs w:val="22"/>
            </w:rPr>
          </w:pPr>
          <w:hyperlink w:anchor="_Toc79511691" w:history="1">
            <w:r w:rsidR="00007995" w:rsidRPr="00AD51B2">
              <w:rPr>
                <w:rStyle w:val="Lienhypertexte"/>
              </w:rPr>
              <w:t>4</w:t>
            </w:r>
            <w:r w:rsidR="00007995">
              <w:rPr>
                <w:rFonts w:asciiTheme="minorHAnsi" w:eastAsiaTheme="minorEastAsia" w:hAnsiTheme="minorHAnsi" w:cstheme="minorBidi"/>
                <w:b w:val="0"/>
                <w:sz w:val="22"/>
                <w:szCs w:val="22"/>
              </w:rPr>
              <w:tab/>
            </w:r>
            <w:r w:rsidR="00007995" w:rsidRPr="00AD51B2">
              <w:rPr>
                <w:rStyle w:val="Lienhypertexte"/>
              </w:rPr>
              <w:t>RESULTATS DE LA REVISION DU PORTEFEUILLE</w:t>
            </w:r>
            <w:r w:rsidR="00007995">
              <w:rPr>
                <w:webHidden/>
              </w:rPr>
              <w:tab/>
            </w:r>
            <w:r w:rsidR="00007995">
              <w:rPr>
                <w:webHidden/>
              </w:rPr>
              <w:fldChar w:fldCharType="begin"/>
            </w:r>
            <w:r w:rsidR="00007995">
              <w:rPr>
                <w:webHidden/>
              </w:rPr>
              <w:instrText xml:space="preserve"> PAGEREF _Toc79511691 \h </w:instrText>
            </w:r>
            <w:r w:rsidR="00007995">
              <w:rPr>
                <w:webHidden/>
              </w:rPr>
            </w:r>
            <w:r w:rsidR="00007995">
              <w:rPr>
                <w:webHidden/>
              </w:rPr>
              <w:fldChar w:fldCharType="separate"/>
            </w:r>
            <w:r w:rsidR="00007995">
              <w:rPr>
                <w:webHidden/>
              </w:rPr>
              <w:t>10</w:t>
            </w:r>
            <w:r w:rsidR="00007995">
              <w:rPr>
                <w:webHidden/>
              </w:rPr>
              <w:fldChar w:fldCharType="end"/>
            </w:r>
          </w:hyperlink>
        </w:p>
        <w:p w:rsidR="00007995" w:rsidRDefault="00081095">
          <w:pPr>
            <w:pStyle w:val="TM1"/>
            <w:rPr>
              <w:rFonts w:asciiTheme="minorHAnsi" w:eastAsiaTheme="minorEastAsia" w:hAnsiTheme="minorHAnsi" w:cstheme="minorBidi"/>
              <w:b w:val="0"/>
              <w:sz w:val="22"/>
              <w:szCs w:val="22"/>
            </w:rPr>
          </w:pPr>
          <w:hyperlink w:anchor="_Toc79511692" w:history="1">
            <w:r w:rsidR="00007995" w:rsidRPr="00AD51B2">
              <w:rPr>
                <w:rStyle w:val="Lienhypertexte"/>
              </w:rPr>
              <w:t>5</w:t>
            </w:r>
            <w:r w:rsidR="00007995">
              <w:rPr>
                <w:rFonts w:asciiTheme="minorHAnsi" w:eastAsiaTheme="minorEastAsia" w:hAnsiTheme="minorHAnsi" w:cstheme="minorBidi"/>
                <w:b w:val="0"/>
                <w:sz w:val="22"/>
                <w:szCs w:val="22"/>
              </w:rPr>
              <w:tab/>
            </w:r>
            <w:r w:rsidR="00007995" w:rsidRPr="00AD51B2">
              <w:rPr>
                <w:rStyle w:val="Lienhypertexte"/>
              </w:rPr>
              <w:t>MESURES DE SUIVI DES ENGAGEMENTS</w:t>
            </w:r>
            <w:r w:rsidR="00007995">
              <w:rPr>
                <w:webHidden/>
              </w:rPr>
              <w:tab/>
            </w:r>
            <w:r w:rsidR="00007995">
              <w:rPr>
                <w:webHidden/>
              </w:rPr>
              <w:fldChar w:fldCharType="begin"/>
            </w:r>
            <w:r w:rsidR="00007995">
              <w:rPr>
                <w:webHidden/>
              </w:rPr>
              <w:instrText xml:space="preserve"> PAGEREF _Toc79511692 \h </w:instrText>
            </w:r>
            <w:r w:rsidR="00007995">
              <w:rPr>
                <w:webHidden/>
              </w:rPr>
            </w:r>
            <w:r w:rsidR="00007995">
              <w:rPr>
                <w:webHidden/>
              </w:rPr>
              <w:fldChar w:fldCharType="separate"/>
            </w:r>
            <w:r w:rsidR="00007995">
              <w:rPr>
                <w:webHidden/>
              </w:rPr>
              <w:t>12</w:t>
            </w:r>
            <w:r w:rsidR="00007995">
              <w:rPr>
                <w:webHidden/>
              </w:rPr>
              <w:fldChar w:fldCharType="end"/>
            </w:r>
          </w:hyperlink>
        </w:p>
        <w:p w:rsidR="00007995" w:rsidRDefault="00081095">
          <w:pPr>
            <w:pStyle w:val="TM1"/>
            <w:rPr>
              <w:rFonts w:asciiTheme="minorHAnsi" w:eastAsiaTheme="minorEastAsia" w:hAnsiTheme="minorHAnsi" w:cstheme="minorBidi"/>
              <w:b w:val="0"/>
              <w:sz w:val="22"/>
              <w:szCs w:val="22"/>
            </w:rPr>
          </w:pPr>
          <w:hyperlink w:anchor="_Toc79511693" w:history="1">
            <w:r w:rsidR="00007995" w:rsidRPr="00AD51B2">
              <w:rPr>
                <w:rStyle w:val="Lienhypertexte"/>
              </w:rPr>
              <w:t>6</w:t>
            </w:r>
            <w:r w:rsidR="00007995">
              <w:rPr>
                <w:rFonts w:asciiTheme="minorHAnsi" w:eastAsiaTheme="minorEastAsia" w:hAnsiTheme="minorHAnsi" w:cstheme="minorBidi"/>
                <w:b w:val="0"/>
                <w:sz w:val="22"/>
                <w:szCs w:val="22"/>
              </w:rPr>
              <w:tab/>
            </w:r>
            <w:r w:rsidR="00007995" w:rsidRPr="00AD51B2">
              <w:rPr>
                <w:rStyle w:val="Lienhypertexte"/>
              </w:rPr>
              <w:t>LES RATIOS PRUDENTIELS AU 30 JUIN 2021</w:t>
            </w:r>
            <w:r w:rsidR="00007995">
              <w:rPr>
                <w:webHidden/>
              </w:rPr>
              <w:tab/>
            </w:r>
            <w:r w:rsidR="00007995">
              <w:rPr>
                <w:webHidden/>
              </w:rPr>
              <w:fldChar w:fldCharType="begin"/>
            </w:r>
            <w:r w:rsidR="00007995">
              <w:rPr>
                <w:webHidden/>
              </w:rPr>
              <w:instrText xml:space="preserve"> PAGEREF _Toc79511693 \h </w:instrText>
            </w:r>
            <w:r w:rsidR="00007995">
              <w:rPr>
                <w:webHidden/>
              </w:rPr>
            </w:r>
            <w:r w:rsidR="00007995">
              <w:rPr>
                <w:webHidden/>
              </w:rPr>
              <w:fldChar w:fldCharType="separate"/>
            </w:r>
            <w:r w:rsidR="00007995">
              <w:rPr>
                <w:webHidden/>
              </w:rPr>
              <w:t>13</w:t>
            </w:r>
            <w:r w:rsidR="00007995">
              <w:rPr>
                <w:webHidden/>
              </w:rPr>
              <w:fldChar w:fldCharType="end"/>
            </w:r>
          </w:hyperlink>
        </w:p>
        <w:p w:rsidR="004C1B79" w:rsidRDefault="00FD55F7" w:rsidP="001B71BA">
          <w:pPr>
            <w:spacing w:line="360" w:lineRule="auto"/>
            <w:rPr>
              <w:b/>
              <w:bCs/>
            </w:rPr>
          </w:pPr>
          <w:r w:rsidRPr="001B71BA">
            <w:rPr>
              <w:bCs/>
              <w:sz w:val="26"/>
              <w:szCs w:val="26"/>
            </w:rPr>
            <w:fldChar w:fldCharType="end"/>
          </w:r>
        </w:p>
      </w:sdtContent>
    </w:sdt>
    <w:p w:rsidR="004C1B79" w:rsidRDefault="004C1B79" w:rsidP="004C1B79">
      <w:pPr>
        <w:rPr>
          <w:sz w:val="26"/>
          <w:szCs w:val="26"/>
        </w:rPr>
      </w:pPr>
    </w:p>
    <w:p w:rsidR="00007995" w:rsidRDefault="00007995">
      <w:pPr>
        <w:rPr>
          <w:sz w:val="26"/>
          <w:szCs w:val="26"/>
        </w:rPr>
      </w:pPr>
      <w:r>
        <w:rPr>
          <w:sz w:val="26"/>
          <w:szCs w:val="26"/>
        </w:rPr>
        <w:br w:type="page"/>
      </w:r>
    </w:p>
    <w:p w:rsidR="00B42715" w:rsidRDefault="00B42715" w:rsidP="004C1B79">
      <w:pPr>
        <w:spacing w:line="360" w:lineRule="auto"/>
        <w:rPr>
          <w:sz w:val="26"/>
          <w:szCs w:val="26"/>
        </w:rPr>
      </w:pPr>
    </w:p>
    <w:p w:rsidR="00321306" w:rsidRDefault="00321306" w:rsidP="00321306">
      <w:pPr>
        <w:spacing w:line="360" w:lineRule="auto"/>
        <w:jc w:val="both"/>
        <w:rPr>
          <w:sz w:val="26"/>
          <w:szCs w:val="26"/>
        </w:rPr>
      </w:pPr>
      <w:r w:rsidRPr="0010679D">
        <w:rPr>
          <w:sz w:val="26"/>
          <w:szCs w:val="26"/>
        </w:rPr>
        <w:t xml:space="preserve">Conformément à la circulaire n°04-2017/CB/C du 27 septembre 2017 qui fait obligation aux établissements de crédit et </w:t>
      </w:r>
      <w:r>
        <w:rPr>
          <w:sz w:val="26"/>
          <w:szCs w:val="26"/>
        </w:rPr>
        <w:t xml:space="preserve">aux </w:t>
      </w:r>
      <w:r w:rsidRPr="0010679D">
        <w:rPr>
          <w:sz w:val="26"/>
          <w:szCs w:val="26"/>
        </w:rPr>
        <w:t xml:space="preserve">compagnies financières de l’UMOA de procéder à </w:t>
      </w:r>
      <w:r>
        <w:rPr>
          <w:sz w:val="26"/>
          <w:szCs w:val="26"/>
        </w:rPr>
        <w:t>une</w:t>
      </w:r>
      <w:r w:rsidRPr="0010679D">
        <w:rPr>
          <w:sz w:val="26"/>
          <w:szCs w:val="26"/>
        </w:rPr>
        <w:t xml:space="preserve"> révision semestrielle globale de leur portefeuille </w:t>
      </w:r>
      <w:r>
        <w:rPr>
          <w:sz w:val="26"/>
          <w:szCs w:val="26"/>
        </w:rPr>
        <w:t>de crédits</w:t>
      </w:r>
      <w:r w:rsidRPr="0010679D">
        <w:rPr>
          <w:sz w:val="26"/>
          <w:szCs w:val="26"/>
        </w:rPr>
        <w:t xml:space="preserve">, </w:t>
      </w:r>
      <w:r w:rsidRPr="005D655B">
        <w:rPr>
          <w:sz w:val="26"/>
          <w:szCs w:val="26"/>
        </w:rPr>
        <w:t xml:space="preserve">Coris Holding SA a </w:t>
      </w:r>
      <w:r>
        <w:rPr>
          <w:sz w:val="26"/>
          <w:szCs w:val="26"/>
        </w:rPr>
        <w:t>proc</w:t>
      </w:r>
      <w:r w:rsidR="00BE5A35">
        <w:rPr>
          <w:sz w:val="26"/>
          <w:szCs w:val="26"/>
        </w:rPr>
        <w:t>édé à une révision globale au 30</w:t>
      </w:r>
      <w:r>
        <w:rPr>
          <w:sz w:val="26"/>
          <w:szCs w:val="26"/>
        </w:rPr>
        <w:t xml:space="preserve"> </w:t>
      </w:r>
      <w:r w:rsidR="00BE5A35">
        <w:rPr>
          <w:sz w:val="26"/>
          <w:szCs w:val="26"/>
        </w:rPr>
        <w:t>juin 2021</w:t>
      </w:r>
      <w:r>
        <w:rPr>
          <w:sz w:val="26"/>
          <w:szCs w:val="26"/>
        </w:rPr>
        <w:t xml:space="preserve"> du portefeuille de crédit de l’ensemble de ses filiales</w:t>
      </w:r>
      <w:r w:rsidRPr="0010679D">
        <w:rPr>
          <w:sz w:val="26"/>
          <w:szCs w:val="26"/>
        </w:rPr>
        <w:t>.</w:t>
      </w:r>
    </w:p>
    <w:p w:rsidR="00321306" w:rsidRPr="005D655B" w:rsidRDefault="00321306" w:rsidP="00321306">
      <w:pPr>
        <w:spacing w:line="360" w:lineRule="auto"/>
        <w:jc w:val="both"/>
        <w:rPr>
          <w:sz w:val="26"/>
          <w:szCs w:val="26"/>
        </w:rPr>
      </w:pPr>
    </w:p>
    <w:p w:rsidR="00321306" w:rsidRDefault="00321306" w:rsidP="00321306">
      <w:pPr>
        <w:spacing w:line="360" w:lineRule="auto"/>
        <w:jc w:val="both"/>
        <w:rPr>
          <w:sz w:val="26"/>
          <w:szCs w:val="26"/>
        </w:rPr>
      </w:pPr>
      <w:r w:rsidRPr="0010679D">
        <w:rPr>
          <w:sz w:val="26"/>
          <w:szCs w:val="26"/>
        </w:rPr>
        <w:t>Le présent rapport retrace</w:t>
      </w:r>
      <w:r>
        <w:rPr>
          <w:sz w:val="26"/>
          <w:szCs w:val="26"/>
        </w:rPr>
        <w:t xml:space="preserve"> les principaux résu</w:t>
      </w:r>
      <w:r w:rsidR="00EA59D6">
        <w:rPr>
          <w:sz w:val="26"/>
          <w:szCs w:val="26"/>
        </w:rPr>
        <w:t>ltats issus de la révision au 30</w:t>
      </w:r>
      <w:r>
        <w:rPr>
          <w:sz w:val="26"/>
          <w:szCs w:val="26"/>
        </w:rPr>
        <w:t xml:space="preserve"> </w:t>
      </w:r>
      <w:r w:rsidR="00EA59D6">
        <w:rPr>
          <w:sz w:val="26"/>
          <w:szCs w:val="26"/>
        </w:rPr>
        <w:t>juin</w:t>
      </w:r>
      <w:r>
        <w:rPr>
          <w:sz w:val="26"/>
          <w:szCs w:val="26"/>
        </w:rPr>
        <w:t xml:space="preserve"> 202</w:t>
      </w:r>
      <w:r w:rsidR="00EA59D6">
        <w:rPr>
          <w:sz w:val="26"/>
          <w:szCs w:val="26"/>
        </w:rPr>
        <w:t>1</w:t>
      </w:r>
      <w:r>
        <w:rPr>
          <w:sz w:val="26"/>
          <w:szCs w:val="26"/>
        </w:rPr>
        <w:t xml:space="preserve"> du portefeuille de crédit consolidé</w:t>
      </w:r>
      <w:r w:rsidRPr="005D655B">
        <w:rPr>
          <w:sz w:val="26"/>
          <w:szCs w:val="26"/>
        </w:rPr>
        <w:t>. Il est structuré en six (06) grands points.</w:t>
      </w:r>
      <w:r w:rsidRPr="00550442">
        <w:rPr>
          <w:sz w:val="26"/>
          <w:szCs w:val="26"/>
        </w:rPr>
        <w:t> </w:t>
      </w:r>
    </w:p>
    <w:p w:rsidR="0047623C" w:rsidRPr="0010679D" w:rsidRDefault="0047623C" w:rsidP="0047623C">
      <w:pPr>
        <w:spacing w:line="360" w:lineRule="auto"/>
        <w:jc w:val="both"/>
        <w:rPr>
          <w:sz w:val="26"/>
          <w:szCs w:val="26"/>
        </w:rPr>
      </w:pPr>
    </w:p>
    <w:p w:rsidR="00B73011" w:rsidRDefault="00B73011">
      <w:pPr>
        <w:rPr>
          <w:rFonts w:eastAsia="Calibri"/>
          <w:b/>
          <w:sz w:val="26"/>
          <w:szCs w:val="26"/>
          <w:u w:val="single"/>
          <w:lang w:eastAsia="en-US"/>
        </w:rPr>
      </w:pPr>
    </w:p>
    <w:p w:rsidR="0047623C" w:rsidRPr="005576F1" w:rsidRDefault="00B94745" w:rsidP="00FD55F7">
      <w:pPr>
        <w:pStyle w:val="Paragraphedeliste"/>
        <w:numPr>
          <w:ilvl w:val="0"/>
          <w:numId w:val="2"/>
        </w:numPr>
        <w:spacing w:line="360" w:lineRule="auto"/>
        <w:outlineLvl w:val="0"/>
        <w:rPr>
          <w:rFonts w:ascii="Times New Roman" w:hAnsi="Times New Roman" w:cs="Times New Roman"/>
          <w:b/>
          <w:sz w:val="26"/>
          <w:szCs w:val="26"/>
          <w:u w:val="single"/>
        </w:rPr>
      </w:pPr>
      <w:bookmarkStart w:id="0" w:name="_Toc79511679"/>
      <w:r w:rsidRPr="005576F1">
        <w:rPr>
          <w:rFonts w:ascii="Times New Roman" w:hAnsi="Times New Roman" w:cs="Times New Roman"/>
          <w:b/>
          <w:sz w:val="26"/>
          <w:szCs w:val="26"/>
          <w:u w:val="single"/>
        </w:rPr>
        <w:t>DISPOSITIF</w:t>
      </w:r>
      <w:r w:rsidR="0047623C" w:rsidRPr="005576F1">
        <w:rPr>
          <w:rFonts w:ascii="Times New Roman" w:hAnsi="Times New Roman" w:cs="Times New Roman"/>
          <w:b/>
          <w:sz w:val="26"/>
          <w:szCs w:val="26"/>
          <w:u w:val="single"/>
        </w:rPr>
        <w:t xml:space="preserve"> DE GESTION </w:t>
      </w:r>
      <w:r w:rsidR="00321306">
        <w:rPr>
          <w:rFonts w:ascii="Times New Roman" w:hAnsi="Times New Roman" w:cs="Times New Roman"/>
          <w:b/>
          <w:sz w:val="26"/>
          <w:szCs w:val="26"/>
          <w:u w:val="single"/>
        </w:rPr>
        <w:t>DU</w:t>
      </w:r>
      <w:r w:rsidR="0047623C" w:rsidRPr="005576F1">
        <w:rPr>
          <w:rFonts w:ascii="Times New Roman" w:hAnsi="Times New Roman" w:cs="Times New Roman"/>
          <w:b/>
          <w:sz w:val="26"/>
          <w:szCs w:val="26"/>
          <w:u w:val="single"/>
        </w:rPr>
        <w:t xml:space="preserve"> RISQUE</w:t>
      </w:r>
      <w:r w:rsidR="00583E6E">
        <w:rPr>
          <w:rFonts w:ascii="Times New Roman" w:hAnsi="Times New Roman" w:cs="Times New Roman"/>
          <w:b/>
          <w:sz w:val="26"/>
          <w:szCs w:val="26"/>
          <w:u w:val="single"/>
        </w:rPr>
        <w:t xml:space="preserve"> DE CREDIT</w:t>
      </w:r>
      <w:bookmarkEnd w:id="0"/>
      <w:r w:rsidR="00350076">
        <w:rPr>
          <w:rFonts w:ascii="Times New Roman" w:hAnsi="Times New Roman" w:cs="Times New Roman"/>
          <w:b/>
          <w:sz w:val="26"/>
          <w:szCs w:val="26"/>
          <w:u w:val="single"/>
        </w:rPr>
        <w:t xml:space="preserve"> </w:t>
      </w:r>
    </w:p>
    <w:p w:rsidR="0047623C" w:rsidRPr="00D256BA" w:rsidRDefault="0047623C" w:rsidP="00D256BA">
      <w:pPr>
        <w:pStyle w:val="Titre2"/>
        <w:numPr>
          <w:ilvl w:val="0"/>
          <w:numId w:val="30"/>
        </w:numPr>
        <w:spacing w:before="120"/>
        <w:ind w:left="414" w:hanging="357"/>
        <w:rPr>
          <w:b/>
          <w:i/>
          <w:color w:val="auto"/>
        </w:rPr>
      </w:pPr>
      <w:bookmarkStart w:id="1" w:name="_Toc79511680"/>
      <w:r w:rsidRPr="00D256BA">
        <w:rPr>
          <w:b/>
          <w:color w:val="auto"/>
        </w:rPr>
        <w:t xml:space="preserve">Organisation de la gestion et de la révision </w:t>
      </w:r>
      <w:r w:rsidR="000C7288">
        <w:rPr>
          <w:b/>
          <w:color w:val="auto"/>
        </w:rPr>
        <w:t>du portefeuille de crédits</w:t>
      </w:r>
      <w:bookmarkEnd w:id="1"/>
    </w:p>
    <w:p w:rsidR="00D256BA" w:rsidRDefault="00D256BA" w:rsidP="0047623C">
      <w:pPr>
        <w:spacing w:line="360" w:lineRule="auto"/>
        <w:jc w:val="both"/>
        <w:rPr>
          <w:sz w:val="26"/>
          <w:szCs w:val="26"/>
        </w:rPr>
      </w:pPr>
    </w:p>
    <w:p w:rsidR="00321306" w:rsidRDefault="00321306" w:rsidP="00321306">
      <w:pPr>
        <w:spacing w:line="360" w:lineRule="auto"/>
        <w:jc w:val="both"/>
        <w:rPr>
          <w:sz w:val="26"/>
          <w:szCs w:val="26"/>
        </w:rPr>
      </w:pPr>
      <w:r w:rsidRPr="0010679D">
        <w:rPr>
          <w:sz w:val="26"/>
          <w:szCs w:val="26"/>
        </w:rPr>
        <w:t xml:space="preserve">La gestion </w:t>
      </w:r>
      <w:r>
        <w:rPr>
          <w:sz w:val="26"/>
          <w:szCs w:val="26"/>
        </w:rPr>
        <w:t>du</w:t>
      </w:r>
      <w:r w:rsidRPr="0010679D">
        <w:rPr>
          <w:sz w:val="26"/>
          <w:szCs w:val="26"/>
        </w:rPr>
        <w:t xml:space="preserve"> risque </w:t>
      </w:r>
      <w:r>
        <w:rPr>
          <w:sz w:val="26"/>
          <w:szCs w:val="26"/>
        </w:rPr>
        <w:t>de crédit de</w:t>
      </w:r>
      <w:r w:rsidR="00791172">
        <w:rPr>
          <w:sz w:val="26"/>
          <w:szCs w:val="26"/>
        </w:rPr>
        <w:t>s filiales de</w:t>
      </w:r>
      <w:r>
        <w:rPr>
          <w:sz w:val="26"/>
          <w:szCs w:val="26"/>
        </w:rPr>
        <w:t xml:space="preserve"> Coris Holding </w:t>
      </w:r>
      <w:r w:rsidRPr="0010679D">
        <w:rPr>
          <w:sz w:val="26"/>
          <w:szCs w:val="26"/>
        </w:rPr>
        <w:t>est assurée par les</w:t>
      </w:r>
      <w:r>
        <w:rPr>
          <w:sz w:val="26"/>
          <w:szCs w:val="26"/>
        </w:rPr>
        <w:t xml:space="preserve"> trois lignes de défense suivantes :</w:t>
      </w:r>
    </w:p>
    <w:p w:rsidR="008C45F5" w:rsidRDefault="008C45F5" w:rsidP="00321306">
      <w:pPr>
        <w:spacing w:line="360" w:lineRule="auto"/>
        <w:jc w:val="both"/>
        <w:rPr>
          <w:sz w:val="26"/>
          <w:szCs w:val="26"/>
        </w:rPr>
      </w:pPr>
    </w:p>
    <w:p w:rsidR="00321306" w:rsidRDefault="00321306" w:rsidP="00321306">
      <w:pPr>
        <w:spacing w:line="360" w:lineRule="auto"/>
        <w:jc w:val="both"/>
        <w:rPr>
          <w:sz w:val="26"/>
          <w:szCs w:val="26"/>
        </w:rPr>
      </w:pPr>
      <w:r w:rsidRPr="00AD5E6B">
        <w:rPr>
          <w:b/>
          <w:sz w:val="26"/>
          <w:szCs w:val="26"/>
          <w:u w:val="single"/>
        </w:rPr>
        <w:t>Première ligne de défense</w:t>
      </w:r>
      <w:r>
        <w:rPr>
          <w:b/>
          <w:sz w:val="26"/>
          <w:szCs w:val="26"/>
          <w:u w:val="single"/>
        </w:rPr>
        <w:t>.</w:t>
      </w:r>
      <w:r w:rsidRPr="00806634">
        <w:rPr>
          <w:sz w:val="26"/>
          <w:szCs w:val="26"/>
        </w:rPr>
        <w:t xml:space="preserve"> </w:t>
      </w:r>
      <w:r>
        <w:rPr>
          <w:sz w:val="26"/>
          <w:szCs w:val="26"/>
        </w:rPr>
        <w:t>E</w:t>
      </w:r>
      <w:r w:rsidRPr="00806634">
        <w:rPr>
          <w:sz w:val="26"/>
          <w:szCs w:val="26"/>
        </w:rPr>
        <w:t>lle comprend </w:t>
      </w:r>
      <w:r w:rsidR="00510915">
        <w:rPr>
          <w:sz w:val="26"/>
          <w:szCs w:val="26"/>
        </w:rPr>
        <w:t>les</w:t>
      </w:r>
      <w:r>
        <w:rPr>
          <w:sz w:val="26"/>
          <w:szCs w:val="26"/>
        </w:rPr>
        <w:t xml:space="preserve"> entités commerciales </w:t>
      </w:r>
      <w:r w:rsidRPr="00AD5E6B">
        <w:rPr>
          <w:sz w:val="26"/>
          <w:szCs w:val="26"/>
        </w:rPr>
        <w:t>chargées du suivi des dossiers de crédit sains </w:t>
      </w:r>
      <w:r>
        <w:rPr>
          <w:sz w:val="26"/>
          <w:szCs w:val="26"/>
        </w:rPr>
        <w:t xml:space="preserve">et </w:t>
      </w:r>
      <w:r w:rsidRPr="00A11F41">
        <w:rPr>
          <w:sz w:val="26"/>
          <w:szCs w:val="26"/>
        </w:rPr>
        <w:t>des créances</w:t>
      </w:r>
      <w:r w:rsidRPr="009218E8">
        <w:rPr>
          <w:sz w:val="26"/>
          <w:szCs w:val="26"/>
        </w:rPr>
        <w:t xml:space="preserve"> </w:t>
      </w:r>
      <w:r w:rsidRPr="00B45D51">
        <w:rPr>
          <w:sz w:val="26"/>
          <w:szCs w:val="26"/>
        </w:rPr>
        <w:t>r</w:t>
      </w:r>
      <w:r w:rsidRPr="00A11F41">
        <w:rPr>
          <w:sz w:val="26"/>
          <w:szCs w:val="26"/>
        </w:rPr>
        <w:t>estructurées</w:t>
      </w:r>
      <w:r w:rsidR="00510915">
        <w:rPr>
          <w:sz w:val="26"/>
          <w:szCs w:val="26"/>
        </w:rPr>
        <w:t xml:space="preserve">, les </w:t>
      </w:r>
      <w:r w:rsidR="00533847">
        <w:rPr>
          <w:sz w:val="26"/>
          <w:szCs w:val="26"/>
        </w:rPr>
        <w:t>entités en charge</w:t>
      </w:r>
      <w:r>
        <w:rPr>
          <w:sz w:val="26"/>
          <w:szCs w:val="26"/>
        </w:rPr>
        <w:t xml:space="preserve"> de la contre-analyse des dossiers et de l’organisatio</w:t>
      </w:r>
      <w:r w:rsidR="00510915">
        <w:rPr>
          <w:sz w:val="26"/>
          <w:szCs w:val="26"/>
        </w:rPr>
        <w:t xml:space="preserve">n du suivi des irréguliers et les </w:t>
      </w:r>
      <w:r>
        <w:rPr>
          <w:sz w:val="26"/>
          <w:szCs w:val="26"/>
        </w:rPr>
        <w:t>entité</w:t>
      </w:r>
      <w:r w:rsidR="00533847">
        <w:rPr>
          <w:sz w:val="26"/>
          <w:szCs w:val="26"/>
        </w:rPr>
        <w:t>s</w:t>
      </w:r>
      <w:r>
        <w:rPr>
          <w:sz w:val="26"/>
          <w:szCs w:val="26"/>
        </w:rPr>
        <w:t xml:space="preserve"> </w:t>
      </w:r>
      <w:r w:rsidRPr="00B465B4">
        <w:rPr>
          <w:sz w:val="26"/>
          <w:szCs w:val="26"/>
        </w:rPr>
        <w:t xml:space="preserve">en charge </w:t>
      </w:r>
      <w:r>
        <w:rPr>
          <w:sz w:val="26"/>
          <w:szCs w:val="26"/>
        </w:rPr>
        <w:t>du</w:t>
      </w:r>
      <w:r w:rsidRPr="00B465B4">
        <w:rPr>
          <w:sz w:val="26"/>
          <w:szCs w:val="26"/>
        </w:rPr>
        <w:t xml:space="preserve"> recouvrement </w:t>
      </w:r>
      <w:r>
        <w:rPr>
          <w:sz w:val="26"/>
          <w:szCs w:val="26"/>
        </w:rPr>
        <w:t xml:space="preserve">et la revue </w:t>
      </w:r>
      <w:r w:rsidRPr="00B465B4">
        <w:rPr>
          <w:sz w:val="26"/>
          <w:szCs w:val="26"/>
        </w:rPr>
        <w:t>des Créances Douteuses et Litigieuses (CDL)</w:t>
      </w:r>
      <w:r>
        <w:rPr>
          <w:sz w:val="26"/>
          <w:szCs w:val="26"/>
        </w:rPr>
        <w:t xml:space="preserve"> dans chaque filiale du Groupe. Cette première ligne de défense au niveau des filiales est assistée et s</w:t>
      </w:r>
      <w:r w:rsidR="00533847">
        <w:rPr>
          <w:sz w:val="26"/>
          <w:szCs w:val="26"/>
        </w:rPr>
        <w:t>upervisée par la Direction des E</w:t>
      </w:r>
      <w:r>
        <w:rPr>
          <w:sz w:val="26"/>
          <w:szCs w:val="26"/>
        </w:rPr>
        <w:t xml:space="preserve">ngagements et du Recouvrement des Créances de Coris Holding. </w:t>
      </w:r>
    </w:p>
    <w:p w:rsidR="008C45F5" w:rsidRPr="00AD5E6B" w:rsidRDefault="008C45F5" w:rsidP="00321306">
      <w:pPr>
        <w:spacing w:line="360" w:lineRule="auto"/>
        <w:jc w:val="both"/>
        <w:rPr>
          <w:b/>
          <w:sz w:val="26"/>
          <w:szCs w:val="26"/>
          <w:u w:val="single"/>
        </w:rPr>
      </w:pPr>
    </w:p>
    <w:p w:rsidR="00321306" w:rsidRDefault="00321306" w:rsidP="00321306">
      <w:pPr>
        <w:spacing w:line="360" w:lineRule="auto"/>
        <w:jc w:val="both"/>
        <w:rPr>
          <w:sz w:val="26"/>
          <w:szCs w:val="26"/>
        </w:rPr>
      </w:pPr>
      <w:r w:rsidRPr="00AD5E6B">
        <w:rPr>
          <w:b/>
          <w:sz w:val="26"/>
          <w:szCs w:val="26"/>
          <w:u w:val="single"/>
        </w:rPr>
        <w:t>Deuxième ligne de défense</w:t>
      </w:r>
      <w:r>
        <w:rPr>
          <w:b/>
          <w:sz w:val="26"/>
          <w:szCs w:val="26"/>
          <w:u w:val="single"/>
        </w:rPr>
        <w:t> </w:t>
      </w:r>
      <w:r>
        <w:rPr>
          <w:b/>
          <w:sz w:val="26"/>
          <w:szCs w:val="26"/>
        </w:rPr>
        <w:t>:</w:t>
      </w:r>
      <w:r>
        <w:rPr>
          <w:sz w:val="26"/>
          <w:szCs w:val="26"/>
        </w:rPr>
        <w:t xml:space="preserve"> El</w:t>
      </w:r>
      <w:r w:rsidR="00EA59D6">
        <w:rPr>
          <w:sz w:val="26"/>
          <w:szCs w:val="26"/>
        </w:rPr>
        <w:t>le comprend les Directions des R</w:t>
      </w:r>
      <w:r>
        <w:rPr>
          <w:sz w:val="26"/>
          <w:szCs w:val="26"/>
        </w:rPr>
        <w:t xml:space="preserve">isques des filiales qui s’occupent du contrôle et du suivi de l’application des exigences du dispositif prudentiel et du PCB révisé notamment l’instruction </w:t>
      </w:r>
      <w:r w:rsidR="00B55926" w:rsidRPr="0010679D">
        <w:rPr>
          <w:sz w:val="26"/>
          <w:szCs w:val="26"/>
        </w:rPr>
        <w:t xml:space="preserve">n°026-11-2016 </w:t>
      </w:r>
      <w:r>
        <w:rPr>
          <w:sz w:val="26"/>
          <w:szCs w:val="26"/>
        </w:rPr>
        <w:t xml:space="preserve">relative à la comptabilisation et l’évaluation des créances en souffrance. La deuxième ligne de défense est sous la supervision de la Direction des Risques </w:t>
      </w:r>
      <w:r w:rsidR="00EA59D6">
        <w:rPr>
          <w:sz w:val="26"/>
          <w:szCs w:val="26"/>
        </w:rPr>
        <w:t>de Coris Holding</w:t>
      </w:r>
      <w:r>
        <w:rPr>
          <w:sz w:val="26"/>
          <w:szCs w:val="26"/>
        </w:rPr>
        <w:t>.</w:t>
      </w:r>
    </w:p>
    <w:p w:rsidR="00321306" w:rsidRDefault="00321306" w:rsidP="00321306">
      <w:pPr>
        <w:spacing w:line="360" w:lineRule="auto"/>
        <w:jc w:val="both"/>
        <w:rPr>
          <w:sz w:val="26"/>
          <w:szCs w:val="26"/>
        </w:rPr>
      </w:pPr>
    </w:p>
    <w:p w:rsidR="00321306" w:rsidRPr="0010679D" w:rsidRDefault="00321306" w:rsidP="00321306">
      <w:pPr>
        <w:spacing w:line="360" w:lineRule="auto"/>
        <w:jc w:val="both"/>
        <w:rPr>
          <w:sz w:val="26"/>
          <w:szCs w:val="26"/>
        </w:rPr>
      </w:pPr>
      <w:r w:rsidRPr="00AD5E6B">
        <w:rPr>
          <w:b/>
          <w:sz w:val="26"/>
          <w:szCs w:val="26"/>
          <w:u w:val="single"/>
        </w:rPr>
        <w:t>Troisième ligne de défense</w:t>
      </w:r>
      <w:r w:rsidRPr="00AD5E6B">
        <w:rPr>
          <w:b/>
          <w:sz w:val="26"/>
          <w:szCs w:val="26"/>
        </w:rPr>
        <w:t> :</w:t>
      </w:r>
      <w:r>
        <w:rPr>
          <w:sz w:val="26"/>
          <w:szCs w:val="26"/>
        </w:rPr>
        <w:t xml:space="preserve"> Elle concerne les Directions Audit Interne des filiales qui ont en charge le contrôle périodique de la bonne application de la règlementation, des politiques et des procédures de risque de crédit. La troisième ligne de défense est supervisée par l’Inspection Générale de Coris Holding.</w:t>
      </w:r>
    </w:p>
    <w:p w:rsidR="00321306" w:rsidRPr="0010679D" w:rsidRDefault="00321306" w:rsidP="0047623C">
      <w:pPr>
        <w:spacing w:line="360" w:lineRule="auto"/>
        <w:jc w:val="both"/>
        <w:rPr>
          <w:sz w:val="26"/>
          <w:szCs w:val="26"/>
        </w:rPr>
      </w:pPr>
    </w:p>
    <w:p w:rsidR="0047623C" w:rsidRPr="00D256BA" w:rsidRDefault="0047623C" w:rsidP="00D256BA">
      <w:pPr>
        <w:pStyle w:val="Titre2"/>
        <w:numPr>
          <w:ilvl w:val="0"/>
          <w:numId w:val="30"/>
        </w:numPr>
        <w:spacing w:before="120"/>
        <w:ind w:left="414" w:hanging="357"/>
        <w:rPr>
          <w:b/>
          <w:color w:val="auto"/>
        </w:rPr>
      </w:pPr>
      <w:bookmarkStart w:id="2" w:name="_Toc79511681"/>
      <w:r w:rsidRPr="00D256BA">
        <w:rPr>
          <w:b/>
          <w:color w:val="auto"/>
        </w:rPr>
        <w:t>Politique</w:t>
      </w:r>
      <w:r w:rsidR="00B66DD1">
        <w:rPr>
          <w:b/>
          <w:color w:val="auto"/>
        </w:rPr>
        <w:t>s</w:t>
      </w:r>
      <w:r w:rsidRPr="00D256BA">
        <w:rPr>
          <w:b/>
          <w:color w:val="auto"/>
        </w:rPr>
        <w:t xml:space="preserve"> et p</w:t>
      </w:r>
      <w:r w:rsidR="003D1128">
        <w:rPr>
          <w:b/>
          <w:color w:val="auto"/>
        </w:rPr>
        <w:t>rocédures de prise de risques de crédit ou</w:t>
      </w:r>
      <w:r w:rsidRPr="00D256BA">
        <w:rPr>
          <w:b/>
          <w:color w:val="auto"/>
        </w:rPr>
        <w:t xml:space="preserve"> </w:t>
      </w:r>
      <w:r w:rsidR="003D1128">
        <w:rPr>
          <w:b/>
          <w:color w:val="auto"/>
        </w:rPr>
        <w:t>d’</w:t>
      </w:r>
      <w:r w:rsidRPr="00D256BA">
        <w:rPr>
          <w:b/>
          <w:color w:val="auto"/>
        </w:rPr>
        <w:t>engagemen</w:t>
      </w:r>
      <w:r w:rsidR="003D1128">
        <w:rPr>
          <w:b/>
          <w:color w:val="auto"/>
        </w:rPr>
        <w:t>t</w:t>
      </w:r>
      <w:bookmarkEnd w:id="2"/>
    </w:p>
    <w:p w:rsidR="00D256BA" w:rsidRDefault="00D256BA" w:rsidP="0047623C">
      <w:pPr>
        <w:spacing w:line="360" w:lineRule="auto"/>
        <w:jc w:val="both"/>
        <w:rPr>
          <w:sz w:val="26"/>
          <w:szCs w:val="26"/>
        </w:rPr>
      </w:pPr>
    </w:p>
    <w:p w:rsidR="00291A28" w:rsidRDefault="00291A28" w:rsidP="00291A28">
      <w:pPr>
        <w:spacing w:line="360" w:lineRule="auto"/>
        <w:jc w:val="both"/>
        <w:rPr>
          <w:sz w:val="26"/>
          <w:szCs w:val="26"/>
        </w:rPr>
      </w:pPr>
      <w:r w:rsidRPr="0010679D">
        <w:rPr>
          <w:sz w:val="26"/>
          <w:szCs w:val="26"/>
        </w:rPr>
        <w:t xml:space="preserve">Le risque de crédit est le risque résultant de l’incertitude quant à la capacité ou la volonté des contreparties ou des clients de remplir leurs obligations. L'événement risqué correspond au non-respect, par un client ou par une contrepartie, de ses obligations financières ou, d'une manière générale, à la détérioration de la qualité du crédit </w:t>
      </w:r>
      <w:r>
        <w:rPr>
          <w:sz w:val="26"/>
          <w:szCs w:val="26"/>
        </w:rPr>
        <w:t xml:space="preserve">et de la capacité de remboursement </w:t>
      </w:r>
      <w:r w:rsidRPr="0010679D">
        <w:rPr>
          <w:sz w:val="26"/>
          <w:szCs w:val="26"/>
        </w:rPr>
        <w:t xml:space="preserve">de cette contrepartie. Dans l’objectif de minimiser considérablement les conséquences pouvant découler de la survenance de tels événements, des limites ont été définies par </w:t>
      </w:r>
      <w:r>
        <w:rPr>
          <w:sz w:val="26"/>
          <w:szCs w:val="26"/>
        </w:rPr>
        <w:t>le Conseil d’Administration</w:t>
      </w:r>
      <w:r w:rsidRPr="0010679D">
        <w:rPr>
          <w:sz w:val="26"/>
          <w:szCs w:val="26"/>
        </w:rPr>
        <w:t xml:space="preserve"> pour tout engagement pouvant donner lieu à un risque. </w:t>
      </w:r>
    </w:p>
    <w:p w:rsidR="00291A28" w:rsidRDefault="00291A28" w:rsidP="00291A28">
      <w:pPr>
        <w:spacing w:line="360" w:lineRule="auto"/>
        <w:jc w:val="both"/>
        <w:rPr>
          <w:sz w:val="26"/>
          <w:szCs w:val="26"/>
        </w:rPr>
      </w:pPr>
      <w:r w:rsidRPr="0010679D">
        <w:rPr>
          <w:sz w:val="26"/>
          <w:szCs w:val="26"/>
        </w:rPr>
        <w:t>Ainsi</w:t>
      </w:r>
      <w:r w:rsidRPr="0010679D">
        <w:rPr>
          <w:b/>
          <w:sz w:val="26"/>
          <w:szCs w:val="26"/>
        </w:rPr>
        <w:t>,</w:t>
      </w:r>
      <w:r w:rsidRPr="0010679D">
        <w:rPr>
          <w:sz w:val="26"/>
          <w:szCs w:val="26"/>
        </w:rPr>
        <w:t xml:space="preserve"> tout engagement de la Banque doit être approuvé selon un dispositif de décision organisé en fonction du niveau, du type de contrepartie et de la complexité de l’engagement</w:t>
      </w:r>
      <w:r>
        <w:rPr>
          <w:sz w:val="26"/>
          <w:szCs w:val="26"/>
        </w:rPr>
        <w:t xml:space="preserve"> et conformément aux dispositions prudentielles en vigueur</w:t>
      </w:r>
      <w:r w:rsidRPr="0010679D">
        <w:rPr>
          <w:sz w:val="26"/>
          <w:szCs w:val="26"/>
        </w:rPr>
        <w:t xml:space="preserve">. Le dispositif repose sur les normes prudentielles, </w:t>
      </w:r>
      <w:r w:rsidR="00533847">
        <w:rPr>
          <w:sz w:val="26"/>
          <w:szCs w:val="26"/>
        </w:rPr>
        <w:t>l</w:t>
      </w:r>
      <w:r>
        <w:rPr>
          <w:sz w:val="26"/>
          <w:szCs w:val="26"/>
        </w:rPr>
        <w:t>es politiques (politique de crédit, pol</w:t>
      </w:r>
      <w:r w:rsidR="00533847">
        <w:rPr>
          <w:sz w:val="26"/>
          <w:szCs w:val="26"/>
        </w:rPr>
        <w:t>itique d’appétence au risque), l</w:t>
      </w:r>
      <w:r>
        <w:rPr>
          <w:sz w:val="26"/>
          <w:szCs w:val="26"/>
        </w:rPr>
        <w:t xml:space="preserve">es procédures </w:t>
      </w:r>
      <w:r w:rsidRPr="0010679D">
        <w:rPr>
          <w:sz w:val="26"/>
          <w:szCs w:val="26"/>
        </w:rPr>
        <w:t xml:space="preserve">et </w:t>
      </w:r>
      <w:r>
        <w:rPr>
          <w:sz w:val="26"/>
          <w:szCs w:val="26"/>
        </w:rPr>
        <w:t>un système de</w:t>
      </w:r>
      <w:r w:rsidRPr="0010679D">
        <w:rPr>
          <w:sz w:val="26"/>
          <w:szCs w:val="26"/>
        </w:rPr>
        <w:t xml:space="preserve"> délégation de pouvoir</w:t>
      </w:r>
      <w:r>
        <w:rPr>
          <w:sz w:val="26"/>
          <w:szCs w:val="26"/>
        </w:rPr>
        <w:t>s</w:t>
      </w:r>
      <w:r w:rsidRPr="0010679D">
        <w:rPr>
          <w:sz w:val="26"/>
          <w:szCs w:val="26"/>
        </w:rPr>
        <w:t xml:space="preserve"> accordées </w:t>
      </w:r>
      <w:r>
        <w:rPr>
          <w:sz w:val="26"/>
          <w:szCs w:val="26"/>
        </w:rPr>
        <w:t xml:space="preserve">par le Conseil d’Administration </w:t>
      </w:r>
      <w:r w:rsidRPr="0010679D">
        <w:rPr>
          <w:sz w:val="26"/>
          <w:szCs w:val="26"/>
        </w:rPr>
        <w:t>aux organes de décision (Comité Supérieur de Crédit</w:t>
      </w:r>
      <w:r>
        <w:rPr>
          <w:sz w:val="26"/>
          <w:szCs w:val="26"/>
        </w:rPr>
        <w:t xml:space="preserve"> et</w:t>
      </w:r>
      <w:r w:rsidRPr="0010679D">
        <w:rPr>
          <w:sz w:val="26"/>
          <w:szCs w:val="26"/>
        </w:rPr>
        <w:t xml:space="preserve"> Comité Interne de Crédit). </w:t>
      </w:r>
    </w:p>
    <w:p w:rsidR="007466F5" w:rsidRPr="0010679D" w:rsidRDefault="007466F5" w:rsidP="0047623C">
      <w:pPr>
        <w:spacing w:line="360" w:lineRule="auto"/>
        <w:jc w:val="both"/>
        <w:rPr>
          <w:sz w:val="26"/>
          <w:szCs w:val="26"/>
        </w:rPr>
      </w:pPr>
    </w:p>
    <w:p w:rsidR="0047623C" w:rsidRPr="00D256BA" w:rsidRDefault="0047623C" w:rsidP="00D256BA">
      <w:pPr>
        <w:pStyle w:val="Titre2"/>
        <w:numPr>
          <w:ilvl w:val="0"/>
          <w:numId w:val="30"/>
        </w:numPr>
        <w:spacing w:before="120"/>
        <w:ind w:left="414" w:hanging="357"/>
        <w:rPr>
          <w:b/>
          <w:color w:val="auto"/>
        </w:rPr>
      </w:pPr>
      <w:bookmarkStart w:id="3" w:name="_Toc79511682"/>
      <w:r w:rsidRPr="00D256BA">
        <w:rPr>
          <w:b/>
          <w:color w:val="auto"/>
        </w:rPr>
        <w:t>Système de cotation des risques</w:t>
      </w:r>
      <w:bookmarkEnd w:id="3"/>
    </w:p>
    <w:p w:rsidR="00D256BA" w:rsidRDefault="00D256BA" w:rsidP="0047623C">
      <w:pPr>
        <w:spacing w:line="360" w:lineRule="auto"/>
        <w:jc w:val="both"/>
        <w:rPr>
          <w:sz w:val="26"/>
          <w:szCs w:val="26"/>
        </w:rPr>
      </w:pPr>
    </w:p>
    <w:p w:rsidR="00AA700A" w:rsidRPr="0010679D" w:rsidRDefault="00AA700A" w:rsidP="00AA700A">
      <w:pPr>
        <w:spacing w:line="360" w:lineRule="auto"/>
        <w:jc w:val="both"/>
        <w:rPr>
          <w:sz w:val="26"/>
          <w:szCs w:val="26"/>
        </w:rPr>
      </w:pPr>
      <w:r w:rsidRPr="0010679D">
        <w:rPr>
          <w:sz w:val="26"/>
          <w:szCs w:val="26"/>
        </w:rPr>
        <w:t xml:space="preserve">Parallèlement au dispositif des accords de classement de la </w:t>
      </w:r>
      <w:r>
        <w:rPr>
          <w:sz w:val="26"/>
          <w:szCs w:val="26"/>
        </w:rPr>
        <w:t>BCEAO</w:t>
      </w:r>
      <w:r w:rsidRPr="0010679D">
        <w:rPr>
          <w:sz w:val="26"/>
          <w:szCs w:val="26"/>
        </w:rPr>
        <w:t xml:space="preserve"> qui constitue un outil de contrôle qualitatif des crédits octroyés par les Etablissements de crédit de l’Union, </w:t>
      </w:r>
      <w:r>
        <w:rPr>
          <w:sz w:val="26"/>
          <w:szCs w:val="26"/>
        </w:rPr>
        <w:t>les filiales du Groupe Coris</w:t>
      </w:r>
      <w:r w:rsidRPr="0010679D">
        <w:rPr>
          <w:sz w:val="26"/>
          <w:szCs w:val="26"/>
        </w:rPr>
        <w:t xml:space="preserve"> </w:t>
      </w:r>
      <w:r>
        <w:rPr>
          <w:sz w:val="26"/>
          <w:szCs w:val="26"/>
        </w:rPr>
        <w:t>se sont</w:t>
      </w:r>
      <w:r w:rsidRPr="0010679D">
        <w:rPr>
          <w:sz w:val="26"/>
          <w:szCs w:val="26"/>
        </w:rPr>
        <w:t xml:space="preserve"> dotée</w:t>
      </w:r>
      <w:r>
        <w:rPr>
          <w:sz w:val="26"/>
          <w:szCs w:val="26"/>
        </w:rPr>
        <w:t>s</w:t>
      </w:r>
      <w:r w:rsidRPr="0010679D">
        <w:rPr>
          <w:sz w:val="26"/>
          <w:szCs w:val="26"/>
        </w:rPr>
        <w:t xml:space="preserve"> </w:t>
      </w:r>
      <w:r>
        <w:rPr>
          <w:sz w:val="26"/>
          <w:szCs w:val="26"/>
        </w:rPr>
        <w:t>de</w:t>
      </w:r>
      <w:r w:rsidRPr="0010679D">
        <w:rPr>
          <w:sz w:val="26"/>
          <w:szCs w:val="26"/>
        </w:rPr>
        <w:t xml:space="preserve"> mécanisme</w:t>
      </w:r>
      <w:r>
        <w:rPr>
          <w:sz w:val="26"/>
          <w:szCs w:val="26"/>
        </w:rPr>
        <w:t>s</w:t>
      </w:r>
      <w:r w:rsidRPr="0010679D">
        <w:rPr>
          <w:sz w:val="26"/>
          <w:szCs w:val="26"/>
        </w:rPr>
        <w:t xml:space="preserve"> spécifique</w:t>
      </w:r>
      <w:r>
        <w:rPr>
          <w:sz w:val="26"/>
          <w:szCs w:val="26"/>
        </w:rPr>
        <w:t>s</w:t>
      </w:r>
      <w:r w:rsidRPr="0010679D">
        <w:rPr>
          <w:sz w:val="26"/>
          <w:szCs w:val="26"/>
        </w:rPr>
        <w:t xml:space="preserve"> de suivi qualitatif de </w:t>
      </w:r>
      <w:r>
        <w:rPr>
          <w:sz w:val="26"/>
          <w:szCs w:val="26"/>
        </w:rPr>
        <w:t>leur</w:t>
      </w:r>
      <w:r w:rsidRPr="0010679D">
        <w:rPr>
          <w:sz w:val="26"/>
          <w:szCs w:val="26"/>
        </w:rPr>
        <w:t xml:space="preserve"> portefeuille de crédit. Conformément au dispositif susvisé, ce mécanisme interne repose sur une démarche qui privilégie l’information disponible, en se limitant aux données indispensables à l’examen des dossiers. Toutefois, les informations pertinentes recueillies directement par les Chargés d’Affaires auprès de la clientèle sont utilisées pour apprécier les risques encourus sur les dossiers de crédit. Ce suivi qualitatif du portefeuille clientèle est permanent. Sur cette base, une grille de cotation interne des clients a été définie.</w:t>
      </w:r>
    </w:p>
    <w:p w:rsidR="00AA700A" w:rsidRPr="0010679D" w:rsidRDefault="00AA700A" w:rsidP="00AA700A">
      <w:pPr>
        <w:spacing w:line="360" w:lineRule="auto"/>
        <w:jc w:val="both"/>
        <w:rPr>
          <w:sz w:val="26"/>
          <w:szCs w:val="26"/>
        </w:rPr>
      </w:pPr>
      <w:r w:rsidRPr="0010679D">
        <w:rPr>
          <w:sz w:val="26"/>
          <w:szCs w:val="26"/>
        </w:rPr>
        <w:t>Cette cotation repose sur un panel d’informations sur le client</w:t>
      </w:r>
      <w:r>
        <w:rPr>
          <w:sz w:val="26"/>
          <w:szCs w:val="26"/>
        </w:rPr>
        <w:t>,</w:t>
      </w:r>
      <w:r w:rsidRPr="0010679D">
        <w:rPr>
          <w:sz w:val="26"/>
          <w:szCs w:val="26"/>
        </w:rPr>
        <w:t xml:space="preserve"> jugées pertinentes, indispensables à l’examen des dossiers et susceptibles d’influer sur la qualité du crédit.  </w:t>
      </w:r>
    </w:p>
    <w:p w:rsidR="00AA700A" w:rsidRPr="0010679D" w:rsidRDefault="00AA700A" w:rsidP="00AA700A">
      <w:pPr>
        <w:spacing w:line="360" w:lineRule="auto"/>
        <w:jc w:val="both"/>
        <w:rPr>
          <w:sz w:val="26"/>
          <w:szCs w:val="26"/>
        </w:rPr>
      </w:pPr>
      <w:r w:rsidRPr="005576F1">
        <w:rPr>
          <w:sz w:val="26"/>
          <w:szCs w:val="26"/>
        </w:rPr>
        <w:t>L’attention est ainsi portée sur les rubriques suivantes</w:t>
      </w:r>
      <w:r>
        <w:rPr>
          <w:sz w:val="26"/>
          <w:szCs w:val="26"/>
        </w:rPr>
        <w:t> :</w:t>
      </w:r>
    </w:p>
    <w:p w:rsidR="00AA700A" w:rsidRDefault="00AA700A" w:rsidP="00AA700A">
      <w:pPr>
        <w:pStyle w:val="Paragraphedeliste"/>
        <w:numPr>
          <w:ilvl w:val="0"/>
          <w:numId w:val="29"/>
        </w:numPr>
        <w:spacing w:line="240" w:lineRule="auto"/>
        <w:jc w:val="both"/>
        <w:rPr>
          <w:rFonts w:ascii="Times New Roman" w:hAnsi="Times New Roman" w:cs="Times New Roman"/>
          <w:sz w:val="26"/>
          <w:szCs w:val="26"/>
        </w:rPr>
      </w:pPr>
      <w:r w:rsidRPr="0010679D">
        <w:rPr>
          <w:rFonts w:ascii="Times New Roman" w:hAnsi="Times New Roman" w:cs="Times New Roman"/>
          <w:sz w:val="26"/>
          <w:szCs w:val="26"/>
        </w:rPr>
        <w:t>l’environnement interne et externe : 6,67% ;</w:t>
      </w:r>
    </w:p>
    <w:p w:rsidR="00AA700A" w:rsidRPr="0010679D" w:rsidRDefault="00AA700A" w:rsidP="00AA700A">
      <w:pPr>
        <w:pStyle w:val="Paragraphedeliste"/>
        <w:numPr>
          <w:ilvl w:val="0"/>
          <w:numId w:val="29"/>
        </w:numPr>
        <w:spacing w:line="240" w:lineRule="auto"/>
        <w:jc w:val="both"/>
        <w:rPr>
          <w:rFonts w:ascii="Times New Roman" w:hAnsi="Times New Roman" w:cs="Times New Roman"/>
          <w:sz w:val="26"/>
          <w:szCs w:val="26"/>
        </w:rPr>
      </w:pPr>
      <w:r w:rsidRPr="0010679D">
        <w:rPr>
          <w:rFonts w:ascii="Times New Roman" w:hAnsi="Times New Roman" w:cs="Times New Roman"/>
          <w:sz w:val="26"/>
          <w:szCs w:val="26"/>
        </w:rPr>
        <w:t>la performance du sujet en présence (qualité du management, organisation, références) : 6,67% ;</w:t>
      </w:r>
    </w:p>
    <w:p w:rsidR="00AA700A" w:rsidRPr="0010679D" w:rsidRDefault="00AA700A" w:rsidP="00AA700A">
      <w:pPr>
        <w:pStyle w:val="Paragraphedeliste"/>
        <w:numPr>
          <w:ilvl w:val="0"/>
          <w:numId w:val="29"/>
        </w:numPr>
        <w:spacing w:line="240" w:lineRule="auto"/>
        <w:jc w:val="both"/>
        <w:rPr>
          <w:rFonts w:ascii="Times New Roman" w:hAnsi="Times New Roman" w:cs="Times New Roman"/>
          <w:sz w:val="26"/>
          <w:szCs w:val="26"/>
        </w:rPr>
      </w:pPr>
      <w:r w:rsidRPr="0010679D">
        <w:rPr>
          <w:rFonts w:ascii="Times New Roman" w:hAnsi="Times New Roman" w:cs="Times New Roman"/>
          <w:sz w:val="26"/>
          <w:szCs w:val="26"/>
        </w:rPr>
        <w:t>la disponibilité et la quali</w:t>
      </w:r>
      <w:r>
        <w:rPr>
          <w:rFonts w:ascii="Times New Roman" w:hAnsi="Times New Roman" w:cs="Times New Roman"/>
          <w:sz w:val="26"/>
          <w:szCs w:val="26"/>
        </w:rPr>
        <w:t>té de l’information financière (é</w:t>
      </w:r>
      <w:r w:rsidRPr="0010679D">
        <w:rPr>
          <w:rFonts w:ascii="Times New Roman" w:hAnsi="Times New Roman" w:cs="Times New Roman"/>
          <w:sz w:val="26"/>
          <w:szCs w:val="26"/>
        </w:rPr>
        <w:t>tats financiers certifiés, audités etc.) : 6,67% ;</w:t>
      </w:r>
    </w:p>
    <w:p w:rsidR="00AA700A" w:rsidRPr="0010679D" w:rsidRDefault="00AA700A" w:rsidP="00AA700A">
      <w:pPr>
        <w:pStyle w:val="Paragraphedeliste"/>
        <w:numPr>
          <w:ilvl w:val="0"/>
          <w:numId w:val="29"/>
        </w:numPr>
        <w:spacing w:line="240" w:lineRule="auto"/>
        <w:jc w:val="both"/>
        <w:rPr>
          <w:rFonts w:ascii="Times New Roman" w:hAnsi="Times New Roman" w:cs="Times New Roman"/>
          <w:sz w:val="26"/>
          <w:szCs w:val="26"/>
        </w:rPr>
      </w:pPr>
      <w:r w:rsidRPr="0010679D">
        <w:rPr>
          <w:rFonts w:ascii="Times New Roman" w:hAnsi="Times New Roman" w:cs="Times New Roman"/>
          <w:sz w:val="26"/>
          <w:szCs w:val="26"/>
        </w:rPr>
        <w:t>la santé financière du client (à travers l’étude des états financiers)</w:t>
      </w:r>
      <w:r w:rsidR="00533847">
        <w:rPr>
          <w:rFonts w:ascii="Times New Roman" w:hAnsi="Times New Roman" w:cs="Times New Roman"/>
          <w:sz w:val="26"/>
          <w:szCs w:val="26"/>
        </w:rPr>
        <w:t xml:space="preserve"> </w:t>
      </w:r>
      <w:r w:rsidRPr="0010679D">
        <w:rPr>
          <w:rFonts w:ascii="Times New Roman" w:hAnsi="Times New Roman" w:cs="Times New Roman"/>
          <w:sz w:val="26"/>
          <w:szCs w:val="26"/>
        </w:rPr>
        <w:t>: 26,67% ;</w:t>
      </w:r>
    </w:p>
    <w:p w:rsidR="00AA700A" w:rsidRPr="0010679D" w:rsidRDefault="00AA700A" w:rsidP="00AA700A">
      <w:pPr>
        <w:pStyle w:val="Paragraphedeliste"/>
        <w:numPr>
          <w:ilvl w:val="0"/>
          <w:numId w:val="29"/>
        </w:numPr>
        <w:spacing w:line="240" w:lineRule="auto"/>
        <w:jc w:val="both"/>
        <w:rPr>
          <w:rFonts w:ascii="Times New Roman" w:hAnsi="Times New Roman" w:cs="Times New Roman"/>
          <w:sz w:val="26"/>
          <w:szCs w:val="26"/>
        </w:rPr>
      </w:pPr>
      <w:r w:rsidRPr="0010679D">
        <w:rPr>
          <w:rFonts w:ascii="Times New Roman" w:hAnsi="Times New Roman" w:cs="Times New Roman"/>
          <w:sz w:val="26"/>
          <w:szCs w:val="26"/>
        </w:rPr>
        <w:t>le respect des engagements et le fonctionnement du compte : 13,33% ;</w:t>
      </w:r>
    </w:p>
    <w:p w:rsidR="00AA700A" w:rsidRPr="0010679D" w:rsidRDefault="00AA700A" w:rsidP="00AA700A">
      <w:pPr>
        <w:pStyle w:val="Paragraphedeliste"/>
        <w:numPr>
          <w:ilvl w:val="0"/>
          <w:numId w:val="29"/>
        </w:numPr>
        <w:spacing w:line="240" w:lineRule="auto"/>
        <w:jc w:val="both"/>
        <w:rPr>
          <w:rFonts w:ascii="Times New Roman" w:hAnsi="Times New Roman" w:cs="Times New Roman"/>
          <w:sz w:val="26"/>
          <w:szCs w:val="26"/>
        </w:rPr>
      </w:pPr>
      <w:r w:rsidRPr="0010679D">
        <w:rPr>
          <w:rFonts w:ascii="Times New Roman" w:hAnsi="Times New Roman" w:cs="Times New Roman"/>
          <w:sz w:val="26"/>
          <w:szCs w:val="26"/>
        </w:rPr>
        <w:t>la source de remboursement : 13,33% ;</w:t>
      </w:r>
    </w:p>
    <w:p w:rsidR="00AA700A" w:rsidRPr="0010679D" w:rsidRDefault="00AA700A" w:rsidP="00AA700A">
      <w:pPr>
        <w:pStyle w:val="Paragraphedeliste"/>
        <w:numPr>
          <w:ilvl w:val="0"/>
          <w:numId w:val="29"/>
        </w:numPr>
        <w:spacing w:line="240" w:lineRule="auto"/>
        <w:jc w:val="both"/>
        <w:rPr>
          <w:rFonts w:ascii="Times New Roman" w:hAnsi="Times New Roman" w:cs="Times New Roman"/>
          <w:sz w:val="26"/>
          <w:szCs w:val="26"/>
        </w:rPr>
      </w:pPr>
      <w:r w:rsidRPr="0010679D">
        <w:rPr>
          <w:rFonts w:ascii="Times New Roman" w:hAnsi="Times New Roman" w:cs="Times New Roman"/>
          <w:sz w:val="26"/>
          <w:szCs w:val="26"/>
        </w:rPr>
        <w:t>le parrainage : 6,67% ;</w:t>
      </w:r>
    </w:p>
    <w:p w:rsidR="00AA700A" w:rsidRPr="0010679D" w:rsidRDefault="00AA700A" w:rsidP="00AA700A">
      <w:pPr>
        <w:pStyle w:val="Paragraphedeliste"/>
        <w:numPr>
          <w:ilvl w:val="0"/>
          <w:numId w:val="29"/>
        </w:numPr>
        <w:spacing w:line="240" w:lineRule="auto"/>
        <w:jc w:val="both"/>
        <w:rPr>
          <w:rFonts w:ascii="Times New Roman" w:hAnsi="Times New Roman" w:cs="Times New Roman"/>
          <w:sz w:val="26"/>
          <w:szCs w:val="26"/>
        </w:rPr>
      </w:pPr>
      <w:r w:rsidRPr="0010679D">
        <w:rPr>
          <w:rFonts w:ascii="Times New Roman" w:hAnsi="Times New Roman" w:cs="Times New Roman"/>
          <w:sz w:val="26"/>
          <w:szCs w:val="26"/>
        </w:rPr>
        <w:t>les garanties proposées : 20%.</w:t>
      </w:r>
    </w:p>
    <w:p w:rsidR="00533847" w:rsidRDefault="00533847" w:rsidP="00AA700A">
      <w:pPr>
        <w:spacing w:line="360" w:lineRule="auto"/>
        <w:jc w:val="both"/>
        <w:rPr>
          <w:sz w:val="26"/>
          <w:szCs w:val="26"/>
        </w:rPr>
      </w:pPr>
    </w:p>
    <w:p w:rsidR="00AA700A" w:rsidRDefault="00AA700A" w:rsidP="00AA700A">
      <w:pPr>
        <w:spacing w:line="360" w:lineRule="auto"/>
        <w:jc w:val="both"/>
        <w:rPr>
          <w:sz w:val="26"/>
          <w:szCs w:val="26"/>
        </w:rPr>
      </w:pPr>
      <w:r w:rsidRPr="0010679D">
        <w:rPr>
          <w:sz w:val="26"/>
          <w:szCs w:val="26"/>
        </w:rPr>
        <w:t>Le système de cotation interne</w:t>
      </w:r>
      <w:r>
        <w:rPr>
          <w:sz w:val="26"/>
          <w:szCs w:val="26"/>
        </w:rPr>
        <w:t xml:space="preserve"> du Groupe Coris</w:t>
      </w:r>
      <w:r w:rsidRPr="0010679D">
        <w:rPr>
          <w:sz w:val="26"/>
          <w:szCs w:val="26"/>
        </w:rPr>
        <w:t xml:space="preserve"> prévoit cinq (5) niveaux suivants : </w:t>
      </w:r>
    </w:p>
    <w:p w:rsidR="00533847" w:rsidRDefault="00533847" w:rsidP="00AA700A">
      <w:pPr>
        <w:spacing w:line="360" w:lineRule="auto"/>
        <w:jc w:val="both"/>
        <w:rPr>
          <w:sz w:val="26"/>
          <w:szCs w:val="26"/>
        </w:rPr>
      </w:pPr>
    </w:p>
    <w:tbl>
      <w:tblPr>
        <w:tblW w:w="647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2584"/>
      </w:tblGrid>
      <w:tr w:rsidR="00AA700A" w:rsidRPr="008B7571" w:rsidTr="000E5926">
        <w:trPr>
          <w:trHeight w:val="305"/>
        </w:trPr>
        <w:tc>
          <w:tcPr>
            <w:tcW w:w="3893" w:type="dxa"/>
            <w:shd w:val="clear" w:color="auto" w:fill="auto"/>
            <w:noWrap/>
            <w:vAlign w:val="bottom"/>
          </w:tcPr>
          <w:p w:rsidR="00AA700A" w:rsidRPr="008B7571" w:rsidRDefault="00AA700A" w:rsidP="000E5926">
            <w:pPr>
              <w:rPr>
                <w:sz w:val="28"/>
                <w:szCs w:val="28"/>
              </w:rPr>
            </w:pPr>
            <w:r w:rsidRPr="008B7571">
              <w:rPr>
                <w:sz w:val="28"/>
                <w:szCs w:val="28"/>
              </w:rPr>
              <w:t xml:space="preserve">   BR</w:t>
            </w:r>
          </w:p>
        </w:tc>
        <w:tc>
          <w:tcPr>
            <w:tcW w:w="2584" w:type="dxa"/>
            <w:shd w:val="clear" w:color="auto" w:fill="auto"/>
            <w:noWrap/>
            <w:vAlign w:val="bottom"/>
          </w:tcPr>
          <w:p w:rsidR="00AA700A" w:rsidRPr="008B7571" w:rsidRDefault="00AA700A" w:rsidP="000E5926">
            <w:pPr>
              <w:rPr>
                <w:sz w:val="28"/>
                <w:szCs w:val="28"/>
              </w:rPr>
            </w:pPr>
            <w:r w:rsidRPr="008B7571">
              <w:rPr>
                <w:sz w:val="28"/>
                <w:szCs w:val="28"/>
              </w:rPr>
              <w:t>Bon Risque</w:t>
            </w:r>
          </w:p>
        </w:tc>
      </w:tr>
      <w:tr w:rsidR="00AA700A" w:rsidRPr="008B7571" w:rsidTr="000E5926">
        <w:trPr>
          <w:trHeight w:val="209"/>
        </w:trPr>
        <w:tc>
          <w:tcPr>
            <w:tcW w:w="3893" w:type="dxa"/>
            <w:shd w:val="clear" w:color="auto" w:fill="auto"/>
            <w:noWrap/>
            <w:vAlign w:val="bottom"/>
          </w:tcPr>
          <w:p w:rsidR="00AA700A" w:rsidRPr="008B7571" w:rsidRDefault="00AA700A" w:rsidP="000E5926">
            <w:pPr>
              <w:rPr>
                <w:sz w:val="28"/>
                <w:szCs w:val="28"/>
              </w:rPr>
            </w:pPr>
            <w:r w:rsidRPr="008B7571">
              <w:rPr>
                <w:sz w:val="28"/>
                <w:szCs w:val="28"/>
              </w:rPr>
              <w:t xml:space="preserve">   RM</w:t>
            </w:r>
          </w:p>
        </w:tc>
        <w:tc>
          <w:tcPr>
            <w:tcW w:w="2584" w:type="dxa"/>
            <w:shd w:val="clear" w:color="auto" w:fill="auto"/>
            <w:noWrap/>
            <w:vAlign w:val="bottom"/>
          </w:tcPr>
          <w:p w:rsidR="00AA700A" w:rsidRPr="008B7571" w:rsidRDefault="00AA700A" w:rsidP="000E5926">
            <w:pPr>
              <w:rPr>
                <w:sz w:val="28"/>
                <w:szCs w:val="28"/>
              </w:rPr>
            </w:pPr>
            <w:r w:rsidRPr="008B7571">
              <w:rPr>
                <w:sz w:val="28"/>
                <w:szCs w:val="28"/>
              </w:rPr>
              <w:t>Risque Moyen</w:t>
            </w:r>
          </w:p>
        </w:tc>
      </w:tr>
      <w:tr w:rsidR="00AA700A" w:rsidRPr="008B7571" w:rsidTr="000E5926">
        <w:trPr>
          <w:trHeight w:val="289"/>
        </w:trPr>
        <w:tc>
          <w:tcPr>
            <w:tcW w:w="3893" w:type="dxa"/>
            <w:shd w:val="clear" w:color="auto" w:fill="auto"/>
            <w:noWrap/>
            <w:vAlign w:val="bottom"/>
          </w:tcPr>
          <w:p w:rsidR="00AA700A" w:rsidRPr="008B7571" w:rsidRDefault="00AA700A" w:rsidP="000E5926">
            <w:pPr>
              <w:rPr>
                <w:sz w:val="28"/>
                <w:szCs w:val="28"/>
              </w:rPr>
            </w:pPr>
            <w:r w:rsidRPr="008B7571">
              <w:rPr>
                <w:sz w:val="28"/>
                <w:szCs w:val="28"/>
              </w:rPr>
              <w:t xml:space="preserve">   RS</w:t>
            </w:r>
          </w:p>
        </w:tc>
        <w:tc>
          <w:tcPr>
            <w:tcW w:w="2584" w:type="dxa"/>
            <w:shd w:val="clear" w:color="auto" w:fill="auto"/>
            <w:noWrap/>
            <w:vAlign w:val="bottom"/>
          </w:tcPr>
          <w:p w:rsidR="00AA700A" w:rsidRPr="008B7571" w:rsidRDefault="00AA700A" w:rsidP="000E5926">
            <w:pPr>
              <w:rPr>
                <w:sz w:val="28"/>
                <w:szCs w:val="28"/>
              </w:rPr>
            </w:pPr>
            <w:r w:rsidRPr="008B7571">
              <w:rPr>
                <w:sz w:val="28"/>
                <w:szCs w:val="28"/>
              </w:rPr>
              <w:t>Risque Sensible</w:t>
            </w:r>
          </w:p>
        </w:tc>
      </w:tr>
      <w:tr w:rsidR="00AA700A" w:rsidRPr="008B7571" w:rsidTr="000E5926">
        <w:trPr>
          <w:trHeight w:val="225"/>
        </w:trPr>
        <w:tc>
          <w:tcPr>
            <w:tcW w:w="3893" w:type="dxa"/>
            <w:shd w:val="clear" w:color="auto" w:fill="auto"/>
            <w:noWrap/>
            <w:vAlign w:val="bottom"/>
          </w:tcPr>
          <w:p w:rsidR="00AA700A" w:rsidRPr="008B7571" w:rsidRDefault="00AA700A" w:rsidP="000E5926">
            <w:pPr>
              <w:rPr>
                <w:sz w:val="28"/>
                <w:szCs w:val="28"/>
              </w:rPr>
            </w:pPr>
            <w:r w:rsidRPr="008B7571">
              <w:rPr>
                <w:sz w:val="28"/>
                <w:szCs w:val="28"/>
              </w:rPr>
              <w:t xml:space="preserve">   CDX</w:t>
            </w:r>
          </w:p>
        </w:tc>
        <w:tc>
          <w:tcPr>
            <w:tcW w:w="2584" w:type="dxa"/>
            <w:shd w:val="clear" w:color="auto" w:fill="auto"/>
            <w:noWrap/>
            <w:vAlign w:val="bottom"/>
          </w:tcPr>
          <w:p w:rsidR="00AA700A" w:rsidRPr="008B7571" w:rsidRDefault="00AA700A" w:rsidP="000E5926">
            <w:pPr>
              <w:rPr>
                <w:sz w:val="28"/>
                <w:szCs w:val="28"/>
              </w:rPr>
            </w:pPr>
            <w:r w:rsidRPr="008B7571">
              <w:rPr>
                <w:sz w:val="28"/>
                <w:szCs w:val="28"/>
              </w:rPr>
              <w:t>Clients Douteux</w:t>
            </w:r>
          </w:p>
        </w:tc>
      </w:tr>
      <w:tr w:rsidR="00AA700A" w:rsidRPr="008B7571" w:rsidTr="000E5926">
        <w:trPr>
          <w:trHeight w:val="209"/>
        </w:trPr>
        <w:tc>
          <w:tcPr>
            <w:tcW w:w="3893" w:type="dxa"/>
            <w:shd w:val="clear" w:color="auto" w:fill="auto"/>
            <w:noWrap/>
            <w:vAlign w:val="bottom"/>
          </w:tcPr>
          <w:p w:rsidR="00AA700A" w:rsidRPr="008B7571" w:rsidRDefault="00AA700A" w:rsidP="000E5926">
            <w:pPr>
              <w:rPr>
                <w:sz w:val="28"/>
                <w:szCs w:val="28"/>
              </w:rPr>
            </w:pPr>
            <w:r w:rsidRPr="008B7571">
              <w:rPr>
                <w:sz w:val="28"/>
                <w:szCs w:val="28"/>
              </w:rPr>
              <w:t xml:space="preserve">   CTX</w:t>
            </w:r>
          </w:p>
        </w:tc>
        <w:tc>
          <w:tcPr>
            <w:tcW w:w="2584" w:type="dxa"/>
            <w:shd w:val="clear" w:color="auto" w:fill="auto"/>
            <w:vAlign w:val="bottom"/>
          </w:tcPr>
          <w:p w:rsidR="00AA700A" w:rsidRPr="008B7571" w:rsidRDefault="00AA700A" w:rsidP="000E5926">
            <w:pPr>
              <w:rPr>
                <w:sz w:val="28"/>
                <w:szCs w:val="28"/>
              </w:rPr>
            </w:pPr>
            <w:r w:rsidRPr="008B7571">
              <w:rPr>
                <w:sz w:val="28"/>
                <w:szCs w:val="28"/>
              </w:rPr>
              <w:t>Clients Contentieux</w:t>
            </w:r>
          </w:p>
        </w:tc>
      </w:tr>
    </w:tbl>
    <w:p w:rsidR="0047623C" w:rsidRPr="008B7571" w:rsidRDefault="0047623C" w:rsidP="0047623C">
      <w:pPr>
        <w:spacing w:line="360" w:lineRule="auto"/>
        <w:jc w:val="both"/>
        <w:rPr>
          <w:sz w:val="28"/>
          <w:szCs w:val="28"/>
        </w:rPr>
      </w:pPr>
    </w:p>
    <w:p w:rsidR="0047623C" w:rsidRPr="0010679D" w:rsidRDefault="0047623C" w:rsidP="0047623C">
      <w:pPr>
        <w:tabs>
          <w:tab w:val="num" w:pos="720"/>
        </w:tabs>
        <w:spacing w:line="360" w:lineRule="auto"/>
        <w:jc w:val="both"/>
        <w:rPr>
          <w:b/>
          <w:sz w:val="26"/>
          <w:szCs w:val="26"/>
        </w:rPr>
      </w:pPr>
      <w:r w:rsidRPr="0010679D">
        <w:rPr>
          <w:b/>
          <w:sz w:val="26"/>
          <w:szCs w:val="26"/>
        </w:rPr>
        <w:t>BR : (Bon Risque)</w:t>
      </w:r>
    </w:p>
    <w:p w:rsidR="00E42A51" w:rsidRDefault="0047623C" w:rsidP="00E42A51">
      <w:pPr>
        <w:tabs>
          <w:tab w:val="num" w:pos="720"/>
        </w:tabs>
        <w:spacing w:line="360" w:lineRule="auto"/>
        <w:jc w:val="both"/>
        <w:rPr>
          <w:b/>
          <w:sz w:val="26"/>
          <w:szCs w:val="26"/>
        </w:rPr>
      </w:pPr>
      <w:r w:rsidRPr="0010679D">
        <w:rPr>
          <w:sz w:val="26"/>
          <w:szCs w:val="26"/>
        </w:rPr>
        <w:t xml:space="preserve">Toute entreprise présentant dans l’ensemble un niveau de risque normal pour </w:t>
      </w:r>
      <w:r w:rsidR="00D60818">
        <w:rPr>
          <w:sz w:val="26"/>
          <w:szCs w:val="26"/>
        </w:rPr>
        <w:t>la Banque</w:t>
      </w:r>
      <w:r w:rsidR="00D60818" w:rsidRPr="0010679D">
        <w:rPr>
          <w:sz w:val="26"/>
          <w:szCs w:val="26"/>
        </w:rPr>
        <w:t> </w:t>
      </w:r>
      <w:r w:rsidRPr="0010679D">
        <w:rPr>
          <w:sz w:val="26"/>
          <w:szCs w:val="26"/>
        </w:rPr>
        <w:t>: structure financière saine et résultat courant positif, fonctionnement des comptes satisfaisant, positionnement de marché ne traduisant pas de risque de vulnérabilité spécifique, bonne moralité et bonne compétence d’ensemble des dirigeants. Par ailleurs, les sûretés sont confortables.</w:t>
      </w:r>
    </w:p>
    <w:p w:rsidR="00E42A51" w:rsidRDefault="00E42A51" w:rsidP="00E42A51">
      <w:pPr>
        <w:tabs>
          <w:tab w:val="num" w:pos="720"/>
        </w:tabs>
        <w:spacing w:line="360" w:lineRule="auto"/>
        <w:jc w:val="both"/>
        <w:rPr>
          <w:b/>
          <w:sz w:val="26"/>
          <w:szCs w:val="26"/>
        </w:rPr>
      </w:pPr>
    </w:p>
    <w:p w:rsidR="00533847" w:rsidRDefault="00533847" w:rsidP="00E42A51">
      <w:pPr>
        <w:tabs>
          <w:tab w:val="num" w:pos="720"/>
        </w:tabs>
        <w:spacing w:line="360" w:lineRule="auto"/>
        <w:jc w:val="both"/>
        <w:rPr>
          <w:b/>
          <w:sz w:val="26"/>
          <w:szCs w:val="26"/>
        </w:rPr>
      </w:pPr>
    </w:p>
    <w:p w:rsidR="0047623C" w:rsidRPr="00E42A51" w:rsidRDefault="0047623C" w:rsidP="00E42A51">
      <w:pPr>
        <w:tabs>
          <w:tab w:val="num" w:pos="720"/>
        </w:tabs>
        <w:spacing w:line="360" w:lineRule="auto"/>
        <w:jc w:val="both"/>
        <w:rPr>
          <w:sz w:val="26"/>
          <w:szCs w:val="26"/>
        </w:rPr>
      </w:pPr>
      <w:r w:rsidRPr="0010679D">
        <w:rPr>
          <w:b/>
          <w:sz w:val="26"/>
          <w:szCs w:val="26"/>
        </w:rPr>
        <w:t>RM : Risque Moyen</w:t>
      </w:r>
    </w:p>
    <w:p w:rsidR="0047623C" w:rsidRPr="0010679D" w:rsidRDefault="0047623C" w:rsidP="0047623C">
      <w:pPr>
        <w:spacing w:line="360" w:lineRule="auto"/>
        <w:jc w:val="both"/>
        <w:rPr>
          <w:sz w:val="26"/>
          <w:szCs w:val="26"/>
        </w:rPr>
      </w:pPr>
      <w:r w:rsidRPr="0010679D">
        <w:rPr>
          <w:sz w:val="26"/>
          <w:szCs w:val="26"/>
        </w:rPr>
        <w:t xml:space="preserve">Toute entreprise présentant un niveau de risque normal pour </w:t>
      </w:r>
      <w:r w:rsidR="00D60818">
        <w:rPr>
          <w:sz w:val="26"/>
          <w:szCs w:val="26"/>
        </w:rPr>
        <w:t>la Banque</w:t>
      </w:r>
      <w:r w:rsidR="00382C71">
        <w:rPr>
          <w:sz w:val="26"/>
          <w:szCs w:val="26"/>
        </w:rPr>
        <w:t xml:space="preserve"> </w:t>
      </w:r>
      <w:r w:rsidRPr="0010679D">
        <w:rPr>
          <w:sz w:val="26"/>
          <w:szCs w:val="26"/>
        </w:rPr>
        <w:t>mais montrant des facteurs de vulnérabilité</w:t>
      </w:r>
      <w:r w:rsidRPr="0010679D">
        <w:rPr>
          <w:sz w:val="26"/>
          <w:szCs w:val="26"/>
          <w:vertAlign w:val="superscript"/>
        </w:rPr>
        <w:footnoteReference w:id="1"/>
      </w:r>
      <w:r w:rsidRPr="0010679D">
        <w:rPr>
          <w:sz w:val="26"/>
          <w:szCs w:val="26"/>
        </w:rPr>
        <w:t xml:space="preserve"> pouvant conduire à moyen terme à une évolution défavorable de sa situation qui, à ce jour, n’appelle pas encore de réserves. Sont également RM les clients </w:t>
      </w:r>
      <w:r w:rsidRPr="0010679D">
        <w:rPr>
          <w:b/>
          <w:bCs/>
          <w:sz w:val="26"/>
          <w:szCs w:val="26"/>
        </w:rPr>
        <w:t>BR</w:t>
      </w:r>
      <w:r w:rsidRPr="0010679D">
        <w:rPr>
          <w:sz w:val="26"/>
          <w:szCs w:val="26"/>
        </w:rPr>
        <w:t xml:space="preserve"> enregistrant des insuffisances au niveau des garanties.</w:t>
      </w:r>
    </w:p>
    <w:p w:rsidR="0047623C" w:rsidRPr="0010679D" w:rsidRDefault="0047623C" w:rsidP="0047623C">
      <w:pPr>
        <w:spacing w:line="360" w:lineRule="auto"/>
        <w:jc w:val="both"/>
        <w:rPr>
          <w:b/>
          <w:sz w:val="26"/>
          <w:szCs w:val="26"/>
        </w:rPr>
      </w:pPr>
    </w:p>
    <w:p w:rsidR="0047623C" w:rsidRPr="0010679D" w:rsidRDefault="0047623C" w:rsidP="0047623C">
      <w:pPr>
        <w:spacing w:line="360" w:lineRule="auto"/>
        <w:jc w:val="both"/>
        <w:rPr>
          <w:b/>
          <w:sz w:val="26"/>
          <w:szCs w:val="26"/>
        </w:rPr>
      </w:pPr>
      <w:r w:rsidRPr="0010679D">
        <w:rPr>
          <w:b/>
          <w:sz w:val="26"/>
          <w:szCs w:val="26"/>
        </w:rPr>
        <w:t>RS : Risque sensible</w:t>
      </w:r>
    </w:p>
    <w:p w:rsidR="0047623C" w:rsidRPr="0010679D" w:rsidRDefault="0047623C" w:rsidP="0047623C">
      <w:pPr>
        <w:spacing w:line="360" w:lineRule="auto"/>
        <w:jc w:val="both"/>
        <w:rPr>
          <w:sz w:val="26"/>
          <w:szCs w:val="26"/>
        </w:rPr>
      </w:pPr>
      <w:r w:rsidRPr="0010679D">
        <w:rPr>
          <w:sz w:val="26"/>
          <w:szCs w:val="26"/>
        </w:rPr>
        <w:t xml:space="preserve">Toute entreprise présentant un risque particulier pour </w:t>
      </w:r>
      <w:r w:rsidR="00D60818">
        <w:rPr>
          <w:sz w:val="26"/>
          <w:szCs w:val="26"/>
        </w:rPr>
        <w:t>la Banque</w:t>
      </w:r>
      <w:r w:rsidR="00575752">
        <w:rPr>
          <w:sz w:val="26"/>
          <w:szCs w:val="26"/>
        </w:rPr>
        <w:t xml:space="preserve"> </w:t>
      </w:r>
      <w:r w:rsidRPr="0010679D">
        <w:rPr>
          <w:sz w:val="26"/>
          <w:szCs w:val="26"/>
        </w:rPr>
        <w:t>: insuffisance de la structure financière, dégradation des résultats et/ou de la rentabilité, difficultés ponctuelles de trésorerie, positionnement produit - marché fragile, stratégie contestable en sont les caractéristiques les plus fréquentes. La pérennité de l’affaire à moyen terme apparaît incertaine.</w:t>
      </w:r>
    </w:p>
    <w:p w:rsidR="0047623C" w:rsidRPr="0010679D" w:rsidRDefault="0047623C" w:rsidP="0047623C">
      <w:pPr>
        <w:spacing w:line="360" w:lineRule="auto"/>
        <w:jc w:val="both"/>
        <w:rPr>
          <w:sz w:val="26"/>
          <w:szCs w:val="26"/>
        </w:rPr>
      </w:pPr>
      <w:r w:rsidRPr="0010679D">
        <w:rPr>
          <w:sz w:val="26"/>
          <w:szCs w:val="26"/>
        </w:rPr>
        <w:t>Ces crédits doivent être bordés au mieux et intégrés à la watch-list pour un suivi régulier.</w:t>
      </w:r>
    </w:p>
    <w:p w:rsidR="0047623C" w:rsidRPr="0010679D" w:rsidRDefault="0047623C" w:rsidP="0047623C">
      <w:pPr>
        <w:spacing w:line="360" w:lineRule="auto"/>
        <w:jc w:val="both"/>
        <w:rPr>
          <w:sz w:val="26"/>
          <w:szCs w:val="26"/>
        </w:rPr>
      </w:pPr>
    </w:p>
    <w:p w:rsidR="0047623C" w:rsidRPr="0010679D" w:rsidRDefault="0047623C" w:rsidP="0047623C">
      <w:pPr>
        <w:spacing w:line="360" w:lineRule="auto"/>
        <w:jc w:val="both"/>
        <w:rPr>
          <w:b/>
          <w:sz w:val="26"/>
          <w:szCs w:val="26"/>
        </w:rPr>
      </w:pPr>
      <w:r w:rsidRPr="0010679D">
        <w:rPr>
          <w:b/>
          <w:sz w:val="26"/>
          <w:szCs w:val="26"/>
        </w:rPr>
        <w:t>CDX : Clients douteux</w:t>
      </w:r>
    </w:p>
    <w:p w:rsidR="0047623C" w:rsidRPr="0010679D" w:rsidRDefault="0047623C" w:rsidP="0047623C">
      <w:pPr>
        <w:spacing w:line="360" w:lineRule="auto"/>
        <w:jc w:val="both"/>
        <w:rPr>
          <w:sz w:val="26"/>
          <w:szCs w:val="26"/>
        </w:rPr>
      </w:pPr>
      <w:r w:rsidRPr="0010679D">
        <w:rPr>
          <w:sz w:val="26"/>
          <w:szCs w:val="26"/>
        </w:rPr>
        <w:t>Toute entreprise toujours « in bonis »</w:t>
      </w:r>
      <w:r w:rsidRPr="0010679D">
        <w:rPr>
          <w:sz w:val="26"/>
          <w:szCs w:val="26"/>
          <w:vertAlign w:val="superscript"/>
        </w:rPr>
        <w:footnoteReference w:id="2"/>
      </w:r>
      <w:r w:rsidRPr="0010679D">
        <w:rPr>
          <w:sz w:val="26"/>
          <w:szCs w:val="26"/>
        </w:rPr>
        <w:t xml:space="preserve"> pour laquelle la relation banque/client n’est pas rompue. Sont sous cette cotation :</w:t>
      </w:r>
    </w:p>
    <w:p w:rsidR="0047623C" w:rsidRPr="0010679D" w:rsidRDefault="0047623C" w:rsidP="0047623C">
      <w:pPr>
        <w:pStyle w:val="Paragraphedeliste"/>
        <w:numPr>
          <w:ilvl w:val="0"/>
          <w:numId w:val="24"/>
        </w:numPr>
        <w:spacing w:line="360" w:lineRule="auto"/>
        <w:ind w:left="709" w:hanging="447"/>
        <w:jc w:val="both"/>
        <w:rPr>
          <w:rFonts w:ascii="Times New Roman" w:hAnsi="Times New Roman" w:cs="Times New Roman"/>
          <w:sz w:val="26"/>
          <w:szCs w:val="26"/>
        </w:rPr>
      </w:pPr>
      <w:r w:rsidRPr="0010679D">
        <w:rPr>
          <w:rFonts w:ascii="Times New Roman" w:hAnsi="Times New Roman" w:cs="Times New Roman"/>
          <w:sz w:val="26"/>
          <w:szCs w:val="26"/>
        </w:rPr>
        <w:t>les clients bénéficiant de crédit</w:t>
      </w:r>
      <w:r w:rsidR="00533847">
        <w:rPr>
          <w:rFonts w:ascii="Times New Roman" w:hAnsi="Times New Roman" w:cs="Times New Roman"/>
          <w:sz w:val="26"/>
          <w:szCs w:val="26"/>
        </w:rPr>
        <w:t>s</w:t>
      </w:r>
      <w:r w:rsidRPr="0010679D">
        <w:rPr>
          <w:rFonts w:ascii="Times New Roman" w:hAnsi="Times New Roman" w:cs="Times New Roman"/>
          <w:sz w:val="26"/>
          <w:szCs w:val="26"/>
        </w:rPr>
        <w:t xml:space="preserve"> comportant au moins </w:t>
      </w:r>
      <w:r w:rsidRPr="00B84966">
        <w:rPr>
          <w:rFonts w:ascii="Times New Roman" w:hAnsi="Times New Roman" w:cs="Times New Roman"/>
          <w:sz w:val="26"/>
          <w:szCs w:val="26"/>
        </w:rPr>
        <w:t>un</w:t>
      </w:r>
      <w:r w:rsidR="00B84966">
        <w:rPr>
          <w:rFonts w:ascii="Times New Roman" w:hAnsi="Times New Roman" w:cs="Times New Roman"/>
          <w:sz w:val="26"/>
          <w:szCs w:val="26"/>
        </w:rPr>
        <w:t>e échéance</w:t>
      </w:r>
      <w:r w:rsidRPr="00B84966">
        <w:rPr>
          <w:rFonts w:ascii="Times New Roman" w:hAnsi="Times New Roman" w:cs="Times New Roman"/>
          <w:sz w:val="26"/>
          <w:szCs w:val="26"/>
        </w:rPr>
        <w:t xml:space="preserve"> impayé</w:t>
      </w:r>
      <w:r w:rsidR="00B84966">
        <w:rPr>
          <w:rFonts w:ascii="Times New Roman" w:hAnsi="Times New Roman" w:cs="Times New Roman"/>
          <w:sz w:val="26"/>
          <w:szCs w:val="26"/>
        </w:rPr>
        <w:t>e</w:t>
      </w:r>
      <w:r w:rsidRPr="0010679D">
        <w:rPr>
          <w:rFonts w:ascii="Times New Roman" w:hAnsi="Times New Roman" w:cs="Times New Roman"/>
          <w:sz w:val="26"/>
          <w:szCs w:val="26"/>
        </w:rPr>
        <w:t xml:space="preserve"> datant de plus de </w:t>
      </w:r>
      <w:r w:rsidR="00C743FA">
        <w:rPr>
          <w:rFonts w:ascii="Times New Roman" w:hAnsi="Times New Roman" w:cs="Times New Roman"/>
          <w:sz w:val="26"/>
          <w:szCs w:val="26"/>
        </w:rPr>
        <w:t xml:space="preserve">90 jours </w:t>
      </w:r>
      <w:r w:rsidR="000247EE">
        <w:rPr>
          <w:rStyle w:val="Appelnotedebasdep"/>
          <w:rFonts w:ascii="Times New Roman" w:hAnsi="Times New Roman" w:cs="Times New Roman"/>
          <w:sz w:val="26"/>
          <w:szCs w:val="26"/>
        </w:rPr>
        <w:footnoteReference w:id="3"/>
      </w:r>
      <w:r w:rsidRPr="0010679D">
        <w:rPr>
          <w:rFonts w:ascii="Times New Roman" w:hAnsi="Times New Roman" w:cs="Times New Roman"/>
          <w:sz w:val="26"/>
          <w:szCs w:val="26"/>
        </w:rPr>
        <w:t>;</w:t>
      </w:r>
    </w:p>
    <w:p w:rsidR="00E42A51" w:rsidRPr="00252FCA" w:rsidRDefault="0047623C" w:rsidP="0047623C">
      <w:pPr>
        <w:pStyle w:val="Paragraphedeliste"/>
        <w:numPr>
          <w:ilvl w:val="0"/>
          <w:numId w:val="24"/>
        </w:numPr>
        <w:spacing w:line="360" w:lineRule="auto"/>
        <w:ind w:left="709" w:hanging="425"/>
        <w:jc w:val="both"/>
        <w:rPr>
          <w:rFonts w:ascii="Times New Roman" w:hAnsi="Times New Roman" w:cs="Times New Roman"/>
          <w:sz w:val="26"/>
          <w:szCs w:val="26"/>
        </w:rPr>
      </w:pPr>
      <w:r w:rsidRPr="0010679D">
        <w:rPr>
          <w:rFonts w:ascii="Times New Roman" w:hAnsi="Times New Roman" w:cs="Times New Roman"/>
          <w:sz w:val="26"/>
          <w:szCs w:val="26"/>
        </w:rPr>
        <w:t xml:space="preserve">les clients pour lesquels la perte d’une partie des concours consentis par </w:t>
      </w:r>
      <w:r w:rsidR="00D60818">
        <w:rPr>
          <w:sz w:val="26"/>
          <w:szCs w:val="26"/>
        </w:rPr>
        <w:t>la Banque</w:t>
      </w:r>
      <w:r w:rsidR="00D60818" w:rsidRPr="0010679D" w:rsidDel="00D60818">
        <w:rPr>
          <w:rFonts w:ascii="Times New Roman" w:hAnsi="Times New Roman" w:cs="Times New Roman"/>
          <w:sz w:val="26"/>
          <w:szCs w:val="26"/>
        </w:rPr>
        <w:t xml:space="preserve"> </w:t>
      </w:r>
      <w:r w:rsidRPr="0010679D">
        <w:rPr>
          <w:rFonts w:ascii="Times New Roman" w:hAnsi="Times New Roman" w:cs="Times New Roman"/>
          <w:sz w:val="26"/>
          <w:szCs w:val="26"/>
        </w:rPr>
        <w:t>est probable et justifie la constitution d’une provision effective.</w:t>
      </w:r>
    </w:p>
    <w:p w:rsidR="00DF6DEF" w:rsidRDefault="00DF6DEF" w:rsidP="0047623C">
      <w:pPr>
        <w:spacing w:line="360" w:lineRule="auto"/>
        <w:jc w:val="both"/>
        <w:rPr>
          <w:b/>
          <w:sz w:val="26"/>
          <w:szCs w:val="26"/>
        </w:rPr>
      </w:pPr>
    </w:p>
    <w:p w:rsidR="00DF6DEF" w:rsidRDefault="00DF6DEF" w:rsidP="0047623C">
      <w:pPr>
        <w:spacing w:line="360" w:lineRule="auto"/>
        <w:jc w:val="both"/>
        <w:rPr>
          <w:b/>
          <w:sz w:val="26"/>
          <w:szCs w:val="26"/>
        </w:rPr>
      </w:pPr>
    </w:p>
    <w:p w:rsidR="0047623C" w:rsidRPr="0010679D" w:rsidRDefault="0047623C" w:rsidP="0047623C">
      <w:pPr>
        <w:spacing w:line="360" w:lineRule="auto"/>
        <w:jc w:val="both"/>
        <w:rPr>
          <w:b/>
          <w:sz w:val="26"/>
          <w:szCs w:val="26"/>
        </w:rPr>
      </w:pPr>
      <w:r w:rsidRPr="0010679D">
        <w:rPr>
          <w:b/>
          <w:sz w:val="26"/>
          <w:szCs w:val="26"/>
        </w:rPr>
        <w:t>CTX : Clients contentieux</w:t>
      </w:r>
    </w:p>
    <w:p w:rsidR="0047623C" w:rsidRPr="0010679D" w:rsidRDefault="0047623C" w:rsidP="0047623C">
      <w:pPr>
        <w:spacing w:line="360" w:lineRule="auto"/>
        <w:jc w:val="both"/>
        <w:rPr>
          <w:sz w:val="26"/>
          <w:szCs w:val="26"/>
        </w:rPr>
      </w:pPr>
      <w:r w:rsidRPr="0010679D">
        <w:rPr>
          <w:sz w:val="26"/>
          <w:szCs w:val="26"/>
        </w:rPr>
        <w:t>Toute entreprise « in bonis </w:t>
      </w:r>
      <w:r w:rsidR="00065CBC" w:rsidRPr="0010679D">
        <w:rPr>
          <w:sz w:val="26"/>
          <w:szCs w:val="26"/>
        </w:rPr>
        <w:t>» ou</w:t>
      </w:r>
      <w:r w:rsidRPr="0010679D">
        <w:rPr>
          <w:sz w:val="26"/>
          <w:szCs w:val="26"/>
        </w:rPr>
        <w:t xml:space="preserve"> non, pour laquelle </w:t>
      </w:r>
      <w:r w:rsidR="00D60818">
        <w:rPr>
          <w:sz w:val="26"/>
          <w:szCs w:val="26"/>
        </w:rPr>
        <w:t xml:space="preserve">la Banque </w:t>
      </w:r>
      <w:r w:rsidRPr="0010679D">
        <w:rPr>
          <w:sz w:val="26"/>
          <w:szCs w:val="26"/>
        </w:rPr>
        <w:t xml:space="preserve">a mis un terme à la </w:t>
      </w:r>
      <w:r w:rsidR="00C1762B" w:rsidRPr="0010679D">
        <w:rPr>
          <w:sz w:val="26"/>
          <w:szCs w:val="26"/>
        </w:rPr>
        <w:t>relation banque</w:t>
      </w:r>
      <w:r w:rsidRPr="0010679D">
        <w:rPr>
          <w:sz w:val="26"/>
          <w:szCs w:val="26"/>
        </w:rPr>
        <w:t xml:space="preserve">/client (clôture juridique du compte ou exercice de la clause de déchéance du terme pour un crédit à durée déterminée) pour se placer en position de « créancier ». Les crédits classés dans cette catégorie font l’objet de provisionnement et/ou de pertes et la procédure de recouvrement judiciaire est engagée. </w:t>
      </w:r>
    </w:p>
    <w:p w:rsidR="00AD5947" w:rsidRPr="0010679D" w:rsidRDefault="0047623C" w:rsidP="008E2F20">
      <w:pPr>
        <w:spacing w:line="360" w:lineRule="auto"/>
        <w:jc w:val="both"/>
        <w:rPr>
          <w:sz w:val="26"/>
          <w:szCs w:val="26"/>
        </w:rPr>
      </w:pPr>
      <w:r w:rsidRPr="0010679D">
        <w:rPr>
          <w:sz w:val="26"/>
          <w:szCs w:val="26"/>
        </w:rPr>
        <w:t>Le déclassement en CTX s’impose dès l’ouverture d’une procédure collective.</w:t>
      </w:r>
    </w:p>
    <w:p w:rsidR="00AD5947" w:rsidRPr="0010679D" w:rsidRDefault="00AD5947" w:rsidP="00473638">
      <w:pPr>
        <w:jc w:val="both"/>
        <w:rPr>
          <w:sz w:val="26"/>
          <w:szCs w:val="26"/>
        </w:rPr>
      </w:pPr>
    </w:p>
    <w:p w:rsidR="006072A0" w:rsidRPr="00FD55F7" w:rsidRDefault="006072A0" w:rsidP="00FD55F7">
      <w:pPr>
        <w:pStyle w:val="Paragraphedeliste"/>
        <w:numPr>
          <w:ilvl w:val="0"/>
          <w:numId w:val="2"/>
        </w:numPr>
        <w:spacing w:line="360" w:lineRule="auto"/>
        <w:outlineLvl w:val="0"/>
        <w:rPr>
          <w:rFonts w:ascii="Times New Roman" w:hAnsi="Times New Roman" w:cs="Times New Roman"/>
          <w:b/>
          <w:sz w:val="26"/>
          <w:szCs w:val="26"/>
          <w:u w:val="single"/>
        </w:rPr>
      </w:pPr>
      <w:bookmarkStart w:id="4" w:name="_Toc79511683"/>
      <w:r w:rsidRPr="00FD55F7">
        <w:rPr>
          <w:rFonts w:ascii="Times New Roman" w:hAnsi="Times New Roman" w:cs="Times New Roman"/>
          <w:b/>
          <w:sz w:val="26"/>
          <w:szCs w:val="26"/>
          <w:u w:val="single"/>
        </w:rPr>
        <w:t>SITUATION DU PORTEFEUILLE</w:t>
      </w:r>
      <w:bookmarkEnd w:id="4"/>
    </w:p>
    <w:p w:rsidR="00670B6C" w:rsidRPr="0060121D" w:rsidRDefault="0034782D" w:rsidP="00287542">
      <w:pPr>
        <w:pStyle w:val="Titre2"/>
        <w:rPr>
          <w:color w:val="auto"/>
        </w:rPr>
      </w:pPr>
      <w:bookmarkStart w:id="5" w:name="_Toc79511684"/>
      <w:r w:rsidRPr="0060121D">
        <w:rPr>
          <w:b/>
          <w:color w:val="auto"/>
        </w:rPr>
        <w:t>2.1.</w:t>
      </w:r>
      <w:r w:rsidR="006072A0" w:rsidRPr="0060121D">
        <w:rPr>
          <w:b/>
          <w:color w:val="auto"/>
        </w:rPr>
        <w:t xml:space="preserve"> </w:t>
      </w:r>
      <w:r w:rsidR="006072A0" w:rsidRPr="00DA5A6F">
        <w:rPr>
          <w:b/>
          <w:color w:val="auto"/>
        </w:rPr>
        <w:t>Evolution du portefeuille</w:t>
      </w:r>
      <w:r w:rsidR="006502F1">
        <w:rPr>
          <w:b/>
          <w:color w:val="auto"/>
        </w:rPr>
        <w:t xml:space="preserve"> </w:t>
      </w:r>
      <w:r w:rsidR="003E1BCA">
        <w:rPr>
          <w:b/>
          <w:color w:val="auto"/>
        </w:rPr>
        <w:t>de crédit</w:t>
      </w:r>
      <w:r w:rsidR="006072A0" w:rsidRPr="003E1BCA">
        <w:rPr>
          <w:b/>
          <w:color w:val="auto"/>
        </w:rPr>
        <w:t xml:space="preserve"> </w:t>
      </w:r>
      <w:r w:rsidR="003E1BCA">
        <w:rPr>
          <w:b/>
          <w:color w:val="auto"/>
        </w:rPr>
        <w:t xml:space="preserve">du Groupe </w:t>
      </w:r>
      <w:r w:rsidR="00533847">
        <w:rPr>
          <w:b/>
          <w:color w:val="auto"/>
        </w:rPr>
        <w:t xml:space="preserve">Coris </w:t>
      </w:r>
      <w:r w:rsidR="006072A0" w:rsidRPr="00DA5A6F">
        <w:rPr>
          <w:b/>
          <w:color w:val="auto"/>
        </w:rPr>
        <w:t xml:space="preserve">au </w:t>
      </w:r>
      <w:r w:rsidR="00020308">
        <w:rPr>
          <w:b/>
          <w:color w:val="auto"/>
        </w:rPr>
        <w:t>3</w:t>
      </w:r>
      <w:r w:rsidR="00EA59D6">
        <w:rPr>
          <w:b/>
          <w:color w:val="auto"/>
        </w:rPr>
        <w:t>0</w:t>
      </w:r>
      <w:r w:rsidR="00533847">
        <w:rPr>
          <w:b/>
          <w:color w:val="auto"/>
        </w:rPr>
        <w:t xml:space="preserve"> </w:t>
      </w:r>
      <w:r w:rsidR="00EA59D6">
        <w:rPr>
          <w:b/>
          <w:color w:val="auto"/>
        </w:rPr>
        <w:t>juin</w:t>
      </w:r>
      <w:r w:rsidR="00533847">
        <w:rPr>
          <w:b/>
          <w:color w:val="auto"/>
        </w:rPr>
        <w:t xml:space="preserve"> 202</w:t>
      </w:r>
      <w:r w:rsidR="00EA59D6">
        <w:rPr>
          <w:b/>
          <w:color w:val="auto"/>
        </w:rPr>
        <w:t>1</w:t>
      </w:r>
      <w:bookmarkEnd w:id="5"/>
    </w:p>
    <w:p w:rsidR="0060121D" w:rsidRDefault="0060121D" w:rsidP="00F71AF6">
      <w:pPr>
        <w:spacing w:line="360" w:lineRule="auto"/>
        <w:rPr>
          <w:sz w:val="18"/>
          <w:szCs w:val="18"/>
        </w:rPr>
      </w:pPr>
    </w:p>
    <w:p w:rsidR="00636E2A" w:rsidRPr="00252FCA" w:rsidRDefault="004166E1" w:rsidP="00F71AF6">
      <w:pPr>
        <w:spacing w:line="360" w:lineRule="auto"/>
        <w:rPr>
          <w:sz w:val="18"/>
          <w:szCs w:val="18"/>
        </w:rPr>
      </w:pPr>
      <w:r w:rsidRPr="004166E1">
        <w:rPr>
          <w:sz w:val="18"/>
          <w:szCs w:val="18"/>
        </w:rPr>
        <w:t>En millions de francs</w:t>
      </w:r>
      <w:r>
        <w:rPr>
          <w:sz w:val="18"/>
          <w:szCs w:val="18"/>
        </w:rPr>
        <w:t xml:space="preserve"> FCFA</w:t>
      </w:r>
    </w:p>
    <w:tbl>
      <w:tblPr>
        <w:tblW w:w="9816" w:type="dxa"/>
        <w:tblCellMar>
          <w:left w:w="70" w:type="dxa"/>
          <w:right w:w="70" w:type="dxa"/>
        </w:tblCellMar>
        <w:tblLook w:val="04A0" w:firstRow="1" w:lastRow="0" w:firstColumn="1" w:lastColumn="0" w:noHBand="0" w:noVBand="1"/>
      </w:tblPr>
      <w:tblGrid>
        <w:gridCol w:w="3336"/>
        <w:gridCol w:w="1438"/>
        <w:gridCol w:w="1246"/>
        <w:gridCol w:w="1438"/>
        <w:gridCol w:w="920"/>
        <w:gridCol w:w="1438"/>
      </w:tblGrid>
      <w:tr w:rsidR="00EC1F98" w:rsidTr="00EC1F98">
        <w:trPr>
          <w:trHeight w:val="508"/>
        </w:trPr>
        <w:tc>
          <w:tcPr>
            <w:tcW w:w="3336" w:type="dxa"/>
            <w:tcBorders>
              <w:top w:val="single" w:sz="8" w:space="0" w:color="000000"/>
              <w:left w:val="single" w:sz="8" w:space="0" w:color="000000"/>
              <w:bottom w:val="nil"/>
              <w:right w:val="single" w:sz="8" w:space="0" w:color="000000"/>
            </w:tcBorders>
            <w:shd w:val="clear" w:color="000000" w:fill="D9D9D9"/>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Désignation</w:t>
            </w:r>
          </w:p>
        </w:tc>
        <w:tc>
          <w:tcPr>
            <w:tcW w:w="1438" w:type="dxa"/>
            <w:tcBorders>
              <w:top w:val="single" w:sz="8" w:space="0" w:color="000000"/>
              <w:left w:val="nil"/>
              <w:bottom w:val="nil"/>
              <w:right w:val="single" w:sz="8" w:space="0" w:color="000000"/>
            </w:tcBorders>
            <w:shd w:val="clear" w:color="000000" w:fill="D9D9D9"/>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30/06/2020</w:t>
            </w:r>
          </w:p>
        </w:tc>
        <w:tc>
          <w:tcPr>
            <w:tcW w:w="1246" w:type="dxa"/>
            <w:tcBorders>
              <w:top w:val="single" w:sz="8" w:space="0" w:color="000000"/>
              <w:left w:val="nil"/>
              <w:bottom w:val="nil"/>
              <w:right w:val="single" w:sz="8" w:space="0" w:color="000000"/>
            </w:tcBorders>
            <w:shd w:val="clear" w:color="000000" w:fill="D9D9D9"/>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31/12/2020</w:t>
            </w:r>
          </w:p>
        </w:tc>
        <w:tc>
          <w:tcPr>
            <w:tcW w:w="1438" w:type="dxa"/>
            <w:tcBorders>
              <w:top w:val="single" w:sz="8" w:space="0" w:color="000000"/>
              <w:left w:val="nil"/>
              <w:bottom w:val="nil"/>
              <w:right w:val="single" w:sz="8" w:space="0" w:color="000000"/>
            </w:tcBorders>
            <w:shd w:val="clear" w:color="000000" w:fill="D9D9D9"/>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30/06/2021</w:t>
            </w:r>
          </w:p>
        </w:tc>
        <w:tc>
          <w:tcPr>
            <w:tcW w:w="920" w:type="dxa"/>
            <w:tcBorders>
              <w:top w:val="single" w:sz="8" w:space="0" w:color="000000"/>
              <w:left w:val="nil"/>
              <w:bottom w:val="nil"/>
              <w:right w:val="single" w:sz="8" w:space="0" w:color="000000"/>
            </w:tcBorders>
            <w:shd w:val="clear" w:color="000000" w:fill="D9D9D9"/>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Evol. En (Val)</w:t>
            </w:r>
          </w:p>
        </w:tc>
        <w:tc>
          <w:tcPr>
            <w:tcW w:w="1438" w:type="dxa"/>
            <w:tcBorders>
              <w:top w:val="single" w:sz="8" w:space="0" w:color="000000"/>
              <w:left w:val="nil"/>
              <w:bottom w:val="nil"/>
              <w:right w:val="single" w:sz="8" w:space="0" w:color="000000"/>
            </w:tcBorders>
            <w:shd w:val="clear" w:color="000000" w:fill="D9D9D9"/>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Evol. en (%)</w:t>
            </w:r>
          </w:p>
        </w:tc>
      </w:tr>
      <w:tr w:rsidR="00EC1F98" w:rsidTr="00EC1F98">
        <w:trPr>
          <w:trHeight w:val="260"/>
        </w:trPr>
        <w:tc>
          <w:tcPr>
            <w:tcW w:w="3336"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Crédits Directs</w:t>
            </w:r>
          </w:p>
        </w:tc>
        <w:tc>
          <w:tcPr>
            <w:tcW w:w="1438" w:type="dxa"/>
            <w:tcBorders>
              <w:top w:val="single" w:sz="8" w:space="0" w:color="auto"/>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1 698 900</w:t>
            </w:r>
          </w:p>
        </w:tc>
        <w:tc>
          <w:tcPr>
            <w:tcW w:w="1246" w:type="dxa"/>
            <w:tcBorders>
              <w:top w:val="single" w:sz="8" w:space="0" w:color="auto"/>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1 972 332</w:t>
            </w:r>
          </w:p>
        </w:tc>
        <w:tc>
          <w:tcPr>
            <w:tcW w:w="1438" w:type="dxa"/>
            <w:tcBorders>
              <w:top w:val="single" w:sz="8" w:space="0" w:color="auto"/>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2 070 612</w:t>
            </w:r>
          </w:p>
        </w:tc>
        <w:tc>
          <w:tcPr>
            <w:tcW w:w="920" w:type="dxa"/>
            <w:tcBorders>
              <w:top w:val="single" w:sz="8" w:space="0" w:color="auto"/>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98 280</w:t>
            </w:r>
          </w:p>
        </w:tc>
        <w:tc>
          <w:tcPr>
            <w:tcW w:w="1438" w:type="dxa"/>
            <w:tcBorders>
              <w:top w:val="single" w:sz="8" w:space="0" w:color="auto"/>
              <w:left w:val="nil"/>
              <w:bottom w:val="single" w:sz="8" w:space="0" w:color="auto"/>
              <w:right w:val="single" w:sz="8" w:space="0" w:color="auto"/>
            </w:tcBorders>
            <w:shd w:val="clear" w:color="auto" w:fill="auto"/>
            <w:vAlign w:val="center"/>
            <w:hideMark/>
          </w:tcPr>
          <w:p w:rsidR="00EC1F98" w:rsidRDefault="00EC1F98">
            <w:pPr>
              <w:jc w:val="center"/>
              <w:rPr>
                <w:b/>
                <w:bCs/>
                <w:color w:val="000000"/>
                <w:sz w:val="22"/>
                <w:szCs w:val="22"/>
              </w:rPr>
            </w:pPr>
            <w:r>
              <w:rPr>
                <w:b/>
                <w:bCs/>
                <w:color w:val="000000"/>
                <w:sz w:val="22"/>
                <w:szCs w:val="22"/>
              </w:rPr>
              <w:t>4,98%</w:t>
            </w:r>
          </w:p>
        </w:tc>
      </w:tr>
      <w:tr w:rsidR="00EC1F98" w:rsidTr="00EC1F98">
        <w:trPr>
          <w:trHeight w:val="260"/>
        </w:trPr>
        <w:tc>
          <w:tcPr>
            <w:tcW w:w="3336" w:type="dxa"/>
            <w:tcBorders>
              <w:top w:val="nil"/>
              <w:left w:val="single" w:sz="8" w:space="0" w:color="auto"/>
              <w:bottom w:val="single" w:sz="8" w:space="0" w:color="auto"/>
              <w:right w:val="single" w:sz="8" w:space="0" w:color="000000"/>
            </w:tcBorders>
            <w:shd w:val="clear" w:color="auto" w:fill="auto"/>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Engagements hors bilan</w:t>
            </w:r>
          </w:p>
        </w:tc>
        <w:tc>
          <w:tcPr>
            <w:tcW w:w="1438"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668 172</w:t>
            </w:r>
          </w:p>
        </w:tc>
        <w:tc>
          <w:tcPr>
            <w:tcW w:w="1246"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848 841</w:t>
            </w:r>
          </w:p>
        </w:tc>
        <w:tc>
          <w:tcPr>
            <w:tcW w:w="1438"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1 003 285</w:t>
            </w:r>
          </w:p>
        </w:tc>
        <w:tc>
          <w:tcPr>
            <w:tcW w:w="920" w:type="dxa"/>
            <w:tcBorders>
              <w:top w:val="nil"/>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154 444</w:t>
            </w:r>
          </w:p>
        </w:tc>
        <w:tc>
          <w:tcPr>
            <w:tcW w:w="1438" w:type="dxa"/>
            <w:tcBorders>
              <w:top w:val="nil"/>
              <w:left w:val="nil"/>
              <w:bottom w:val="single" w:sz="8" w:space="0" w:color="auto"/>
              <w:right w:val="single" w:sz="8" w:space="0" w:color="auto"/>
            </w:tcBorders>
            <w:shd w:val="clear" w:color="auto" w:fill="auto"/>
            <w:vAlign w:val="center"/>
            <w:hideMark/>
          </w:tcPr>
          <w:p w:rsidR="00EC1F98" w:rsidRDefault="00EC1F98">
            <w:pPr>
              <w:jc w:val="center"/>
              <w:rPr>
                <w:b/>
                <w:bCs/>
                <w:color w:val="000000"/>
                <w:sz w:val="22"/>
                <w:szCs w:val="22"/>
              </w:rPr>
            </w:pPr>
            <w:r>
              <w:rPr>
                <w:b/>
                <w:bCs/>
                <w:color w:val="000000"/>
                <w:sz w:val="22"/>
                <w:szCs w:val="22"/>
              </w:rPr>
              <w:t>18,19%</w:t>
            </w:r>
          </w:p>
        </w:tc>
      </w:tr>
      <w:tr w:rsidR="00EC1F98" w:rsidTr="00EC1F98">
        <w:trPr>
          <w:trHeight w:val="508"/>
        </w:trPr>
        <w:tc>
          <w:tcPr>
            <w:tcW w:w="3336" w:type="dxa"/>
            <w:tcBorders>
              <w:top w:val="nil"/>
              <w:left w:val="single" w:sz="8" w:space="0" w:color="000000"/>
              <w:bottom w:val="single" w:sz="8" w:space="0" w:color="000000"/>
              <w:right w:val="single" w:sz="8" w:space="0" w:color="000000"/>
            </w:tcBorders>
            <w:shd w:val="clear" w:color="000000" w:fill="FFFFFF"/>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Portefeuille Douteux Crédits Directs</w:t>
            </w:r>
          </w:p>
        </w:tc>
        <w:tc>
          <w:tcPr>
            <w:tcW w:w="1438"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57 434</w:t>
            </w:r>
          </w:p>
        </w:tc>
        <w:tc>
          <w:tcPr>
            <w:tcW w:w="1246"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56 002</w:t>
            </w:r>
          </w:p>
        </w:tc>
        <w:tc>
          <w:tcPr>
            <w:tcW w:w="1438"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59 276</w:t>
            </w:r>
          </w:p>
        </w:tc>
        <w:tc>
          <w:tcPr>
            <w:tcW w:w="920" w:type="dxa"/>
            <w:tcBorders>
              <w:top w:val="nil"/>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3 274</w:t>
            </w:r>
          </w:p>
        </w:tc>
        <w:tc>
          <w:tcPr>
            <w:tcW w:w="1438" w:type="dxa"/>
            <w:tcBorders>
              <w:top w:val="nil"/>
              <w:left w:val="nil"/>
              <w:bottom w:val="single" w:sz="8" w:space="0" w:color="auto"/>
              <w:right w:val="single" w:sz="8" w:space="0" w:color="auto"/>
            </w:tcBorders>
            <w:shd w:val="clear" w:color="auto" w:fill="auto"/>
            <w:vAlign w:val="center"/>
            <w:hideMark/>
          </w:tcPr>
          <w:p w:rsidR="00EC1F98" w:rsidRDefault="00EC1F98">
            <w:pPr>
              <w:jc w:val="center"/>
              <w:rPr>
                <w:b/>
                <w:bCs/>
                <w:color w:val="000000"/>
                <w:sz w:val="22"/>
                <w:szCs w:val="22"/>
              </w:rPr>
            </w:pPr>
            <w:r>
              <w:rPr>
                <w:b/>
                <w:bCs/>
                <w:color w:val="000000"/>
                <w:sz w:val="22"/>
                <w:szCs w:val="22"/>
              </w:rPr>
              <w:t>5,85%</w:t>
            </w:r>
          </w:p>
        </w:tc>
      </w:tr>
      <w:tr w:rsidR="00EC1F98" w:rsidTr="00EC1F98">
        <w:trPr>
          <w:trHeight w:val="508"/>
        </w:trPr>
        <w:tc>
          <w:tcPr>
            <w:tcW w:w="3336" w:type="dxa"/>
            <w:tcBorders>
              <w:top w:val="nil"/>
              <w:left w:val="single" w:sz="8" w:space="0" w:color="000000"/>
              <w:bottom w:val="single" w:sz="8" w:space="0" w:color="000000"/>
              <w:right w:val="single" w:sz="8" w:space="0" w:color="000000"/>
            </w:tcBorders>
            <w:shd w:val="clear" w:color="auto" w:fill="auto"/>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Portefeuille Douteux Eng. Hors bilan</w:t>
            </w:r>
          </w:p>
        </w:tc>
        <w:tc>
          <w:tcPr>
            <w:tcW w:w="1438" w:type="dxa"/>
            <w:tcBorders>
              <w:top w:val="nil"/>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1 537</w:t>
            </w:r>
          </w:p>
        </w:tc>
        <w:tc>
          <w:tcPr>
            <w:tcW w:w="1246" w:type="dxa"/>
            <w:tcBorders>
              <w:top w:val="nil"/>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2 229</w:t>
            </w:r>
          </w:p>
        </w:tc>
        <w:tc>
          <w:tcPr>
            <w:tcW w:w="1438"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3 092</w:t>
            </w:r>
          </w:p>
        </w:tc>
        <w:tc>
          <w:tcPr>
            <w:tcW w:w="920" w:type="dxa"/>
            <w:tcBorders>
              <w:top w:val="nil"/>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862</w:t>
            </w:r>
          </w:p>
        </w:tc>
        <w:tc>
          <w:tcPr>
            <w:tcW w:w="1438" w:type="dxa"/>
            <w:tcBorders>
              <w:top w:val="nil"/>
              <w:left w:val="nil"/>
              <w:bottom w:val="single" w:sz="8" w:space="0" w:color="auto"/>
              <w:right w:val="single" w:sz="8" w:space="0" w:color="auto"/>
            </w:tcBorders>
            <w:shd w:val="clear" w:color="auto" w:fill="auto"/>
            <w:vAlign w:val="center"/>
            <w:hideMark/>
          </w:tcPr>
          <w:p w:rsidR="00EC1F98" w:rsidRDefault="00EC1F98">
            <w:pPr>
              <w:jc w:val="center"/>
              <w:rPr>
                <w:b/>
                <w:bCs/>
                <w:color w:val="000000"/>
                <w:sz w:val="22"/>
                <w:szCs w:val="22"/>
              </w:rPr>
            </w:pPr>
            <w:r>
              <w:rPr>
                <w:b/>
                <w:bCs/>
                <w:color w:val="000000"/>
                <w:sz w:val="22"/>
                <w:szCs w:val="22"/>
              </w:rPr>
              <w:t>38,67%</w:t>
            </w:r>
          </w:p>
        </w:tc>
      </w:tr>
      <w:tr w:rsidR="00EC1F98" w:rsidTr="00EC1F98">
        <w:trPr>
          <w:trHeight w:val="260"/>
        </w:trPr>
        <w:tc>
          <w:tcPr>
            <w:tcW w:w="3336" w:type="dxa"/>
            <w:tcBorders>
              <w:top w:val="nil"/>
              <w:left w:val="single" w:sz="8" w:space="0" w:color="000000"/>
              <w:bottom w:val="single" w:sz="8" w:space="0" w:color="000000"/>
              <w:right w:val="single" w:sz="8" w:space="0" w:color="000000"/>
            </w:tcBorders>
            <w:shd w:val="clear" w:color="000000" w:fill="FFFFFF"/>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Créances restructurées</w:t>
            </w:r>
          </w:p>
        </w:tc>
        <w:tc>
          <w:tcPr>
            <w:tcW w:w="1438"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19 699</w:t>
            </w:r>
          </w:p>
        </w:tc>
        <w:tc>
          <w:tcPr>
            <w:tcW w:w="1246"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20 485</w:t>
            </w:r>
          </w:p>
        </w:tc>
        <w:tc>
          <w:tcPr>
            <w:tcW w:w="1438"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20 223</w:t>
            </w:r>
          </w:p>
        </w:tc>
        <w:tc>
          <w:tcPr>
            <w:tcW w:w="920" w:type="dxa"/>
            <w:tcBorders>
              <w:top w:val="nil"/>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-263</w:t>
            </w:r>
          </w:p>
        </w:tc>
        <w:tc>
          <w:tcPr>
            <w:tcW w:w="1438" w:type="dxa"/>
            <w:tcBorders>
              <w:top w:val="nil"/>
              <w:left w:val="nil"/>
              <w:bottom w:val="single" w:sz="8" w:space="0" w:color="auto"/>
              <w:right w:val="single" w:sz="8" w:space="0" w:color="auto"/>
            </w:tcBorders>
            <w:shd w:val="clear" w:color="auto" w:fill="auto"/>
            <w:vAlign w:val="center"/>
            <w:hideMark/>
          </w:tcPr>
          <w:p w:rsidR="00EC1F98" w:rsidRDefault="00EC1F98">
            <w:pPr>
              <w:jc w:val="center"/>
              <w:rPr>
                <w:b/>
                <w:bCs/>
                <w:color w:val="000000"/>
                <w:sz w:val="22"/>
                <w:szCs w:val="22"/>
              </w:rPr>
            </w:pPr>
            <w:r>
              <w:rPr>
                <w:b/>
                <w:bCs/>
                <w:color w:val="000000"/>
                <w:sz w:val="22"/>
                <w:szCs w:val="22"/>
              </w:rPr>
              <w:t>-1,28%</w:t>
            </w:r>
          </w:p>
        </w:tc>
      </w:tr>
      <w:tr w:rsidR="00EC1F98" w:rsidTr="00EC1F98">
        <w:trPr>
          <w:trHeight w:val="260"/>
        </w:trPr>
        <w:tc>
          <w:tcPr>
            <w:tcW w:w="3336" w:type="dxa"/>
            <w:tcBorders>
              <w:top w:val="nil"/>
              <w:left w:val="single" w:sz="8" w:space="0" w:color="000000"/>
              <w:bottom w:val="single" w:sz="8" w:space="0" w:color="000000"/>
              <w:right w:val="single" w:sz="8" w:space="0" w:color="000000"/>
            </w:tcBorders>
            <w:shd w:val="clear" w:color="000000" w:fill="FFFFFF"/>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Provisions</w:t>
            </w:r>
          </w:p>
        </w:tc>
        <w:tc>
          <w:tcPr>
            <w:tcW w:w="1438"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51 919</w:t>
            </w:r>
          </w:p>
        </w:tc>
        <w:tc>
          <w:tcPr>
            <w:tcW w:w="1246"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60 732</w:t>
            </w:r>
          </w:p>
        </w:tc>
        <w:tc>
          <w:tcPr>
            <w:tcW w:w="1438" w:type="dxa"/>
            <w:tcBorders>
              <w:top w:val="nil"/>
              <w:left w:val="nil"/>
              <w:bottom w:val="single" w:sz="8" w:space="0" w:color="auto"/>
              <w:right w:val="single" w:sz="8" w:space="0" w:color="auto"/>
            </w:tcBorders>
            <w:shd w:val="clear" w:color="000000" w:fill="FFFFFF"/>
            <w:noWrap/>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62 002</w:t>
            </w:r>
          </w:p>
        </w:tc>
        <w:tc>
          <w:tcPr>
            <w:tcW w:w="920" w:type="dxa"/>
            <w:tcBorders>
              <w:top w:val="nil"/>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1 270</w:t>
            </w:r>
          </w:p>
        </w:tc>
        <w:tc>
          <w:tcPr>
            <w:tcW w:w="1438" w:type="dxa"/>
            <w:tcBorders>
              <w:top w:val="nil"/>
              <w:left w:val="nil"/>
              <w:bottom w:val="single" w:sz="8" w:space="0" w:color="auto"/>
              <w:right w:val="single" w:sz="8" w:space="0" w:color="auto"/>
            </w:tcBorders>
            <w:shd w:val="clear" w:color="auto" w:fill="auto"/>
            <w:vAlign w:val="center"/>
            <w:hideMark/>
          </w:tcPr>
          <w:p w:rsidR="00EC1F98" w:rsidRDefault="00EC1F98">
            <w:pPr>
              <w:jc w:val="center"/>
              <w:rPr>
                <w:b/>
                <w:bCs/>
                <w:color w:val="000000"/>
                <w:sz w:val="22"/>
                <w:szCs w:val="22"/>
              </w:rPr>
            </w:pPr>
            <w:r>
              <w:rPr>
                <w:b/>
                <w:bCs/>
                <w:color w:val="000000"/>
                <w:sz w:val="22"/>
                <w:szCs w:val="22"/>
              </w:rPr>
              <w:t>2,09%</w:t>
            </w:r>
          </w:p>
        </w:tc>
      </w:tr>
      <w:tr w:rsidR="00EC1F98" w:rsidTr="00EC1F98">
        <w:trPr>
          <w:trHeight w:val="260"/>
        </w:trPr>
        <w:tc>
          <w:tcPr>
            <w:tcW w:w="3336" w:type="dxa"/>
            <w:tcBorders>
              <w:top w:val="nil"/>
              <w:left w:val="single" w:sz="8" w:space="0" w:color="000000"/>
              <w:bottom w:val="nil"/>
              <w:right w:val="single" w:sz="8" w:space="0" w:color="000000"/>
            </w:tcBorders>
            <w:shd w:val="clear" w:color="auto" w:fill="auto"/>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 xml:space="preserve">Portefeuille global </w:t>
            </w:r>
          </w:p>
        </w:tc>
        <w:tc>
          <w:tcPr>
            <w:tcW w:w="1438" w:type="dxa"/>
            <w:tcBorders>
              <w:top w:val="nil"/>
              <w:left w:val="nil"/>
              <w:bottom w:val="nil"/>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2 367 072</w:t>
            </w:r>
          </w:p>
        </w:tc>
        <w:tc>
          <w:tcPr>
            <w:tcW w:w="1246" w:type="dxa"/>
            <w:tcBorders>
              <w:top w:val="nil"/>
              <w:left w:val="nil"/>
              <w:bottom w:val="nil"/>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2 821 174</w:t>
            </w:r>
          </w:p>
        </w:tc>
        <w:tc>
          <w:tcPr>
            <w:tcW w:w="1438" w:type="dxa"/>
            <w:tcBorders>
              <w:top w:val="nil"/>
              <w:left w:val="nil"/>
              <w:bottom w:val="nil"/>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3 073 898</w:t>
            </w:r>
          </w:p>
        </w:tc>
        <w:tc>
          <w:tcPr>
            <w:tcW w:w="920" w:type="dxa"/>
            <w:tcBorders>
              <w:top w:val="nil"/>
              <w:left w:val="nil"/>
              <w:bottom w:val="single" w:sz="8" w:space="0" w:color="auto"/>
              <w:right w:val="single" w:sz="8" w:space="0" w:color="auto"/>
            </w:tcBorders>
            <w:shd w:val="clear" w:color="auto" w:fill="auto"/>
            <w:noWrap/>
            <w:vAlign w:val="center"/>
            <w:hideMark/>
          </w:tcPr>
          <w:p w:rsidR="00EC1F98" w:rsidRDefault="00EC1F98">
            <w:pPr>
              <w:jc w:val="center"/>
              <w:rPr>
                <w:rFonts w:ascii="Calibri" w:hAnsi="Calibri" w:cs="Calibri"/>
                <w:b/>
                <w:bCs/>
                <w:color w:val="000000"/>
                <w:sz w:val="22"/>
                <w:szCs w:val="22"/>
              </w:rPr>
            </w:pPr>
            <w:r>
              <w:rPr>
                <w:rFonts w:ascii="Calibri" w:hAnsi="Calibri" w:cs="Calibri"/>
                <w:b/>
                <w:bCs/>
                <w:color w:val="000000"/>
                <w:sz w:val="22"/>
                <w:szCs w:val="22"/>
              </w:rPr>
              <w:t>252 724</w:t>
            </w:r>
          </w:p>
        </w:tc>
        <w:tc>
          <w:tcPr>
            <w:tcW w:w="1438" w:type="dxa"/>
            <w:tcBorders>
              <w:top w:val="nil"/>
              <w:left w:val="nil"/>
              <w:bottom w:val="single" w:sz="8" w:space="0" w:color="auto"/>
              <w:right w:val="single" w:sz="8" w:space="0" w:color="auto"/>
            </w:tcBorders>
            <w:shd w:val="clear" w:color="auto" w:fill="auto"/>
            <w:vAlign w:val="center"/>
            <w:hideMark/>
          </w:tcPr>
          <w:p w:rsidR="00EC1F98" w:rsidRDefault="00EC1F98">
            <w:pPr>
              <w:jc w:val="center"/>
              <w:rPr>
                <w:b/>
                <w:bCs/>
                <w:color w:val="000000"/>
                <w:sz w:val="22"/>
                <w:szCs w:val="22"/>
              </w:rPr>
            </w:pPr>
            <w:r>
              <w:rPr>
                <w:b/>
                <w:bCs/>
                <w:color w:val="000000"/>
                <w:sz w:val="22"/>
                <w:szCs w:val="22"/>
              </w:rPr>
              <w:t>8,96%</w:t>
            </w:r>
          </w:p>
        </w:tc>
      </w:tr>
      <w:tr w:rsidR="00EC1F98" w:rsidTr="00EC1F98">
        <w:trPr>
          <w:trHeight w:val="508"/>
        </w:trPr>
        <w:tc>
          <w:tcPr>
            <w:tcW w:w="3336" w:type="dxa"/>
            <w:tcBorders>
              <w:top w:val="single" w:sz="8" w:space="0" w:color="auto"/>
              <w:left w:val="single" w:sz="8" w:space="0" w:color="auto"/>
              <w:bottom w:val="nil"/>
              <w:right w:val="single" w:sz="8" w:space="0" w:color="000000"/>
            </w:tcBorders>
            <w:shd w:val="clear" w:color="auto" w:fill="auto"/>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Créances en souffrance directes / Crédits directs</w:t>
            </w:r>
          </w:p>
        </w:tc>
        <w:tc>
          <w:tcPr>
            <w:tcW w:w="1438" w:type="dxa"/>
            <w:tcBorders>
              <w:top w:val="single" w:sz="8" w:space="0" w:color="auto"/>
              <w:left w:val="nil"/>
              <w:bottom w:val="single" w:sz="8" w:space="0" w:color="auto"/>
              <w:right w:val="single" w:sz="8" w:space="0" w:color="auto"/>
            </w:tcBorders>
            <w:shd w:val="clear" w:color="auto" w:fill="auto"/>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4,54%</w:t>
            </w:r>
          </w:p>
        </w:tc>
        <w:tc>
          <w:tcPr>
            <w:tcW w:w="1246" w:type="dxa"/>
            <w:tcBorders>
              <w:top w:val="single" w:sz="8" w:space="0" w:color="auto"/>
              <w:left w:val="nil"/>
              <w:bottom w:val="single" w:sz="8" w:space="0" w:color="auto"/>
              <w:right w:val="single" w:sz="8" w:space="0" w:color="auto"/>
            </w:tcBorders>
            <w:shd w:val="clear" w:color="auto" w:fill="auto"/>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3,88%</w:t>
            </w:r>
          </w:p>
        </w:tc>
        <w:tc>
          <w:tcPr>
            <w:tcW w:w="1438" w:type="dxa"/>
            <w:tcBorders>
              <w:top w:val="single" w:sz="8" w:space="0" w:color="auto"/>
              <w:left w:val="nil"/>
              <w:bottom w:val="single" w:sz="8" w:space="0" w:color="auto"/>
              <w:right w:val="single" w:sz="8" w:space="0" w:color="auto"/>
            </w:tcBorders>
            <w:shd w:val="clear" w:color="auto" w:fill="auto"/>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3,84%</w:t>
            </w:r>
          </w:p>
        </w:tc>
        <w:tc>
          <w:tcPr>
            <w:tcW w:w="920" w:type="dxa"/>
            <w:tcBorders>
              <w:top w:val="nil"/>
              <w:left w:val="nil"/>
              <w:bottom w:val="nil"/>
              <w:right w:val="nil"/>
            </w:tcBorders>
            <w:shd w:val="clear" w:color="000000" w:fill="FFFFFF"/>
            <w:noWrap/>
            <w:vAlign w:val="center"/>
            <w:hideMark/>
          </w:tcPr>
          <w:p w:rsidR="00EC1F98" w:rsidRDefault="00EC1F98">
            <w:pPr>
              <w:rPr>
                <w:rFonts w:ascii="Calibri" w:hAnsi="Calibri" w:cs="Calibri"/>
                <w:color w:val="000000"/>
                <w:sz w:val="22"/>
                <w:szCs w:val="22"/>
              </w:rPr>
            </w:pPr>
            <w:r>
              <w:rPr>
                <w:rFonts w:ascii="Calibri" w:hAnsi="Calibri" w:cs="Calibri"/>
                <w:color w:val="000000"/>
                <w:sz w:val="22"/>
                <w:szCs w:val="22"/>
              </w:rPr>
              <w:t> </w:t>
            </w:r>
          </w:p>
        </w:tc>
        <w:tc>
          <w:tcPr>
            <w:tcW w:w="1438" w:type="dxa"/>
            <w:tcBorders>
              <w:top w:val="nil"/>
              <w:left w:val="nil"/>
              <w:bottom w:val="nil"/>
              <w:right w:val="nil"/>
            </w:tcBorders>
            <w:shd w:val="clear" w:color="auto" w:fill="auto"/>
            <w:noWrap/>
            <w:vAlign w:val="bottom"/>
            <w:hideMark/>
          </w:tcPr>
          <w:p w:rsidR="00EC1F98" w:rsidRDefault="00EC1F98">
            <w:pPr>
              <w:rPr>
                <w:rFonts w:ascii="Calibri" w:hAnsi="Calibri" w:cs="Calibri"/>
                <w:color w:val="000000"/>
                <w:sz w:val="22"/>
                <w:szCs w:val="22"/>
              </w:rPr>
            </w:pPr>
          </w:p>
        </w:tc>
      </w:tr>
      <w:tr w:rsidR="00EC1F98" w:rsidTr="00EC1F98">
        <w:trPr>
          <w:trHeight w:val="508"/>
        </w:trPr>
        <w:tc>
          <w:tcPr>
            <w:tcW w:w="333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C1F98" w:rsidRDefault="00EC1F98">
            <w:pPr>
              <w:rPr>
                <w:rFonts w:ascii="Calibri" w:hAnsi="Calibri" w:cs="Calibri"/>
                <w:b/>
                <w:bCs/>
                <w:color w:val="000000"/>
                <w:sz w:val="22"/>
                <w:szCs w:val="22"/>
              </w:rPr>
            </w:pPr>
            <w:r>
              <w:rPr>
                <w:rFonts w:ascii="Calibri" w:hAnsi="Calibri" w:cs="Calibri"/>
                <w:b/>
                <w:bCs/>
                <w:color w:val="000000"/>
                <w:sz w:val="22"/>
                <w:szCs w:val="22"/>
              </w:rPr>
              <w:t>Créances en souffrance / portefeuille global</w:t>
            </w:r>
          </w:p>
        </w:tc>
        <w:tc>
          <w:tcPr>
            <w:tcW w:w="1438" w:type="dxa"/>
            <w:tcBorders>
              <w:top w:val="nil"/>
              <w:left w:val="nil"/>
              <w:bottom w:val="single" w:sz="8" w:space="0" w:color="auto"/>
              <w:right w:val="single" w:sz="8" w:space="0" w:color="auto"/>
            </w:tcBorders>
            <w:shd w:val="clear" w:color="auto" w:fill="auto"/>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3,32%</w:t>
            </w:r>
          </w:p>
        </w:tc>
        <w:tc>
          <w:tcPr>
            <w:tcW w:w="1246" w:type="dxa"/>
            <w:tcBorders>
              <w:top w:val="nil"/>
              <w:left w:val="nil"/>
              <w:bottom w:val="single" w:sz="8" w:space="0" w:color="auto"/>
              <w:right w:val="single" w:sz="8" w:space="0" w:color="auto"/>
            </w:tcBorders>
            <w:shd w:val="clear" w:color="auto" w:fill="auto"/>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2,79%</w:t>
            </w:r>
          </w:p>
        </w:tc>
        <w:tc>
          <w:tcPr>
            <w:tcW w:w="1438" w:type="dxa"/>
            <w:tcBorders>
              <w:top w:val="nil"/>
              <w:left w:val="nil"/>
              <w:bottom w:val="single" w:sz="8" w:space="0" w:color="auto"/>
              <w:right w:val="single" w:sz="8" w:space="0" w:color="auto"/>
            </w:tcBorders>
            <w:shd w:val="clear" w:color="auto" w:fill="auto"/>
            <w:vAlign w:val="center"/>
            <w:hideMark/>
          </w:tcPr>
          <w:p w:rsidR="00EC1F98" w:rsidRDefault="00EC1F98">
            <w:pPr>
              <w:jc w:val="center"/>
              <w:rPr>
                <w:rFonts w:ascii="Calibri" w:hAnsi="Calibri" w:cs="Calibri"/>
                <w:color w:val="000000"/>
                <w:sz w:val="22"/>
                <w:szCs w:val="22"/>
              </w:rPr>
            </w:pPr>
            <w:r>
              <w:rPr>
                <w:rFonts w:ascii="Calibri" w:hAnsi="Calibri" w:cs="Calibri"/>
                <w:color w:val="000000"/>
                <w:sz w:val="22"/>
                <w:szCs w:val="22"/>
              </w:rPr>
              <w:t>2,69%</w:t>
            </w:r>
          </w:p>
        </w:tc>
        <w:tc>
          <w:tcPr>
            <w:tcW w:w="920" w:type="dxa"/>
            <w:tcBorders>
              <w:top w:val="nil"/>
              <w:left w:val="nil"/>
              <w:bottom w:val="nil"/>
              <w:right w:val="nil"/>
            </w:tcBorders>
            <w:shd w:val="clear" w:color="auto" w:fill="auto"/>
            <w:noWrap/>
            <w:vAlign w:val="bottom"/>
            <w:hideMark/>
          </w:tcPr>
          <w:p w:rsidR="00EC1F98" w:rsidRDefault="00EC1F98">
            <w:pPr>
              <w:jc w:val="center"/>
              <w:rPr>
                <w:rFonts w:ascii="Calibri" w:hAnsi="Calibri" w:cs="Calibri"/>
                <w:color w:val="000000"/>
                <w:sz w:val="22"/>
                <w:szCs w:val="22"/>
              </w:rPr>
            </w:pPr>
          </w:p>
        </w:tc>
        <w:tc>
          <w:tcPr>
            <w:tcW w:w="1438" w:type="dxa"/>
            <w:tcBorders>
              <w:top w:val="nil"/>
              <w:left w:val="nil"/>
              <w:bottom w:val="nil"/>
              <w:right w:val="nil"/>
            </w:tcBorders>
            <w:shd w:val="clear" w:color="auto" w:fill="auto"/>
            <w:noWrap/>
            <w:vAlign w:val="bottom"/>
            <w:hideMark/>
          </w:tcPr>
          <w:p w:rsidR="00EC1F98" w:rsidRDefault="00EC1F98">
            <w:pPr>
              <w:rPr>
                <w:sz w:val="20"/>
                <w:szCs w:val="20"/>
              </w:rPr>
            </w:pPr>
          </w:p>
        </w:tc>
      </w:tr>
    </w:tbl>
    <w:p w:rsidR="00636E2A" w:rsidRDefault="00636E2A" w:rsidP="00636E2A">
      <w:pPr>
        <w:spacing w:line="360" w:lineRule="auto"/>
        <w:rPr>
          <w:sz w:val="18"/>
          <w:szCs w:val="18"/>
        </w:rPr>
      </w:pPr>
    </w:p>
    <w:p w:rsidR="00F978F2" w:rsidRPr="00D67988" w:rsidRDefault="00582DF7" w:rsidP="00D67988">
      <w:pPr>
        <w:jc w:val="both"/>
        <w:rPr>
          <w:color w:val="000000" w:themeColor="text1"/>
          <w:sz w:val="28"/>
          <w:szCs w:val="28"/>
        </w:rPr>
      </w:pPr>
      <w:r>
        <w:rPr>
          <w:noProof/>
          <w:color w:val="000000" w:themeColor="text1"/>
          <w:sz w:val="28"/>
          <w:szCs w:val="28"/>
        </w:rPr>
        <w:drawing>
          <wp:inline distT="0" distB="0" distL="0" distR="0" wp14:anchorId="7F4E68CC" wp14:editId="7D3F9BAD">
            <wp:extent cx="6150498" cy="2390775"/>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8488" cy="2393881"/>
                    </a:xfrm>
                    <a:prstGeom prst="rect">
                      <a:avLst/>
                    </a:prstGeom>
                    <a:noFill/>
                  </pic:spPr>
                </pic:pic>
              </a:graphicData>
            </a:graphic>
          </wp:inline>
        </w:drawing>
      </w:r>
    </w:p>
    <w:p w:rsidR="00D67988" w:rsidRDefault="00D67988" w:rsidP="00D70C73">
      <w:pPr>
        <w:tabs>
          <w:tab w:val="num" w:pos="720"/>
        </w:tabs>
        <w:spacing w:line="360" w:lineRule="auto"/>
        <w:jc w:val="both"/>
        <w:rPr>
          <w:sz w:val="26"/>
          <w:szCs w:val="26"/>
        </w:rPr>
      </w:pPr>
    </w:p>
    <w:p w:rsidR="00F978F2" w:rsidRPr="00762D47" w:rsidRDefault="003D678A" w:rsidP="00D70C73">
      <w:pPr>
        <w:tabs>
          <w:tab w:val="num" w:pos="720"/>
        </w:tabs>
        <w:spacing w:line="360" w:lineRule="auto"/>
        <w:jc w:val="both"/>
        <w:rPr>
          <w:sz w:val="26"/>
          <w:szCs w:val="26"/>
        </w:rPr>
      </w:pPr>
      <w:r w:rsidRPr="00762D47">
        <w:rPr>
          <w:sz w:val="26"/>
          <w:szCs w:val="26"/>
        </w:rPr>
        <w:t xml:space="preserve">Au </w:t>
      </w:r>
      <w:r w:rsidR="00D20181">
        <w:rPr>
          <w:sz w:val="26"/>
          <w:szCs w:val="26"/>
        </w:rPr>
        <w:t>30/06</w:t>
      </w:r>
      <w:r w:rsidR="00582DF7">
        <w:rPr>
          <w:sz w:val="26"/>
          <w:szCs w:val="26"/>
        </w:rPr>
        <w:t>/2021</w:t>
      </w:r>
      <w:r w:rsidR="009E20F4" w:rsidRPr="00762D47">
        <w:rPr>
          <w:sz w:val="26"/>
          <w:szCs w:val="26"/>
        </w:rPr>
        <w:t>,</w:t>
      </w:r>
      <w:r w:rsidRPr="00762D47">
        <w:rPr>
          <w:sz w:val="26"/>
          <w:szCs w:val="26"/>
        </w:rPr>
        <w:t xml:space="preserve"> on note une </w:t>
      </w:r>
      <w:r w:rsidR="005576CA">
        <w:rPr>
          <w:sz w:val="26"/>
          <w:szCs w:val="26"/>
        </w:rPr>
        <w:t>hausse</w:t>
      </w:r>
      <w:r w:rsidR="00A03CAA" w:rsidRPr="00762D47">
        <w:rPr>
          <w:sz w:val="26"/>
          <w:szCs w:val="26"/>
        </w:rPr>
        <w:t xml:space="preserve"> </w:t>
      </w:r>
      <w:r w:rsidRPr="00762D47">
        <w:rPr>
          <w:sz w:val="26"/>
          <w:szCs w:val="26"/>
        </w:rPr>
        <w:t>du volume global du portefeuille de crédit</w:t>
      </w:r>
      <w:r w:rsidR="00CB6E0A" w:rsidRPr="00762D47">
        <w:rPr>
          <w:sz w:val="26"/>
          <w:szCs w:val="26"/>
        </w:rPr>
        <w:t>s</w:t>
      </w:r>
      <w:r w:rsidRPr="00762D47">
        <w:rPr>
          <w:sz w:val="26"/>
          <w:szCs w:val="26"/>
        </w:rPr>
        <w:t xml:space="preserve"> </w:t>
      </w:r>
      <w:r w:rsidR="005C257D" w:rsidRPr="00762D47">
        <w:rPr>
          <w:sz w:val="26"/>
          <w:szCs w:val="26"/>
        </w:rPr>
        <w:t xml:space="preserve">de </w:t>
      </w:r>
      <w:r w:rsidR="00582DF7">
        <w:rPr>
          <w:sz w:val="26"/>
          <w:szCs w:val="26"/>
        </w:rPr>
        <w:t>8,96</w:t>
      </w:r>
      <w:r w:rsidRPr="00762D47">
        <w:rPr>
          <w:sz w:val="26"/>
          <w:szCs w:val="26"/>
        </w:rPr>
        <w:t xml:space="preserve">% </w:t>
      </w:r>
      <w:r w:rsidR="00CB6E0A" w:rsidRPr="00762D47">
        <w:rPr>
          <w:sz w:val="26"/>
          <w:szCs w:val="26"/>
        </w:rPr>
        <w:t>(</w:t>
      </w:r>
      <w:r w:rsidR="00DF101D" w:rsidRPr="00762D47">
        <w:rPr>
          <w:sz w:val="26"/>
          <w:szCs w:val="26"/>
        </w:rPr>
        <w:t xml:space="preserve">XOF </w:t>
      </w:r>
      <w:r w:rsidR="00582DF7">
        <w:rPr>
          <w:sz w:val="26"/>
          <w:szCs w:val="26"/>
        </w:rPr>
        <w:t>252 724</w:t>
      </w:r>
      <w:r w:rsidR="00897F26">
        <w:rPr>
          <w:sz w:val="26"/>
          <w:szCs w:val="26"/>
        </w:rPr>
        <w:t xml:space="preserve"> millions</w:t>
      </w:r>
      <w:r w:rsidR="00CB6E0A" w:rsidRPr="00762D47">
        <w:rPr>
          <w:sz w:val="26"/>
          <w:szCs w:val="26"/>
        </w:rPr>
        <w:t xml:space="preserve">) </w:t>
      </w:r>
      <w:r w:rsidRPr="00762D47">
        <w:rPr>
          <w:sz w:val="26"/>
          <w:szCs w:val="26"/>
        </w:rPr>
        <w:t xml:space="preserve">par rapport </w:t>
      </w:r>
      <w:r w:rsidR="00803007" w:rsidRPr="00762D47">
        <w:rPr>
          <w:sz w:val="26"/>
          <w:szCs w:val="26"/>
        </w:rPr>
        <w:t xml:space="preserve">à la situation </w:t>
      </w:r>
      <w:r w:rsidRPr="00762D47">
        <w:rPr>
          <w:sz w:val="26"/>
          <w:szCs w:val="26"/>
        </w:rPr>
        <w:t xml:space="preserve">au </w:t>
      </w:r>
      <w:r w:rsidR="00582DF7">
        <w:rPr>
          <w:sz w:val="26"/>
          <w:szCs w:val="26"/>
        </w:rPr>
        <w:t>31/12/2020</w:t>
      </w:r>
      <w:r w:rsidR="00DF294C">
        <w:rPr>
          <w:sz w:val="26"/>
          <w:szCs w:val="26"/>
        </w:rPr>
        <w:t>.</w:t>
      </w:r>
    </w:p>
    <w:p w:rsidR="00890D08" w:rsidRDefault="00C62CFD" w:rsidP="00625A99">
      <w:pPr>
        <w:tabs>
          <w:tab w:val="num" w:pos="720"/>
        </w:tabs>
        <w:spacing w:line="360" w:lineRule="auto"/>
        <w:jc w:val="both"/>
        <w:rPr>
          <w:sz w:val="26"/>
          <w:szCs w:val="26"/>
        </w:rPr>
      </w:pPr>
      <w:r w:rsidRPr="00762D47">
        <w:rPr>
          <w:sz w:val="26"/>
          <w:szCs w:val="26"/>
        </w:rPr>
        <w:t>Cette</w:t>
      </w:r>
      <w:r w:rsidR="00CE5841" w:rsidRPr="00762D47">
        <w:rPr>
          <w:sz w:val="26"/>
          <w:szCs w:val="26"/>
        </w:rPr>
        <w:t xml:space="preserve"> </w:t>
      </w:r>
      <w:r w:rsidR="00132E59" w:rsidRPr="00762D47">
        <w:rPr>
          <w:sz w:val="26"/>
          <w:szCs w:val="26"/>
        </w:rPr>
        <w:t xml:space="preserve">évolution </w:t>
      </w:r>
      <w:r w:rsidRPr="00762D47">
        <w:rPr>
          <w:sz w:val="26"/>
          <w:szCs w:val="26"/>
        </w:rPr>
        <w:t xml:space="preserve">est </w:t>
      </w:r>
      <w:r w:rsidR="00CB6E0A" w:rsidRPr="00762D47">
        <w:rPr>
          <w:sz w:val="26"/>
          <w:szCs w:val="26"/>
        </w:rPr>
        <w:t xml:space="preserve">principalement due à </w:t>
      </w:r>
      <w:r w:rsidR="00132E59" w:rsidRPr="00762D47">
        <w:rPr>
          <w:sz w:val="26"/>
          <w:szCs w:val="26"/>
        </w:rPr>
        <w:t>l’augmentation</w:t>
      </w:r>
      <w:r w:rsidR="00CE5841" w:rsidRPr="00762D47">
        <w:rPr>
          <w:sz w:val="26"/>
          <w:szCs w:val="26"/>
        </w:rPr>
        <w:t xml:space="preserve"> </w:t>
      </w:r>
      <w:r w:rsidR="00DF101D" w:rsidRPr="00762D47">
        <w:rPr>
          <w:sz w:val="26"/>
          <w:szCs w:val="26"/>
        </w:rPr>
        <w:t xml:space="preserve">conjuguée </w:t>
      </w:r>
      <w:r w:rsidR="00552EFF" w:rsidRPr="00762D47">
        <w:rPr>
          <w:sz w:val="26"/>
          <w:szCs w:val="26"/>
        </w:rPr>
        <w:t>des engagements</w:t>
      </w:r>
      <w:r w:rsidR="00DF101D" w:rsidRPr="00762D47">
        <w:rPr>
          <w:sz w:val="26"/>
          <w:szCs w:val="26"/>
        </w:rPr>
        <w:t xml:space="preserve"> directs </w:t>
      </w:r>
      <w:r w:rsidR="00762D47">
        <w:rPr>
          <w:sz w:val="26"/>
          <w:szCs w:val="26"/>
        </w:rPr>
        <w:t>de</w:t>
      </w:r>
      <w:r w:rsidR="00582DF7">
        <w:rPr>
          <w:sz w:val="26"/>
          <w:szCs w:val="26"/>
        </w:rPr>
        <w:t xml:space="preserve"> 4,98</w:t>
      </w:r>
      <w:r w:rsidR="000243A7">
        <w:rPr>
          <w:sz w:val="26"/>
          <w:szCs w:val="26"/>
        </w:rPr>
        <w:t>%, soit</w:t>
      </w:r>
      <w:r w:rsidR="00762D47">
        <w:rPr>
          <w:sz w:val="26"/>
          <w:szCs w:val="26"/>
        </w:rPr>
        <w:t xml:space="preserve"> </w:t>
      </w:r>
      <w:r w:rsidR="00625A99" w:rsidRPr="00762D47">
        <w:rPr>
          <w:sz w:val="26"/>
          <w:szCs w:val="26"/>
        </w:rPr>
        <w:t xml:space="preserve">XOF </w:t>
      </w:r>
      <w:r w:rsidR="00582DF7">
        <w:rPr>
          <w:sz w:val="26"/>
          <w:szCs w:val="26"/>
        </w:rPr>
        <w:t>98 280</w:t>
      </w:r>
      <w:r w:rsidR="00897F26">
        <w:rPr>
          <w:sz w:val="26"/>
          <w:szCs w:val="26"/>
        </w:rPr>
        <w:t xml:space="preserve"> millions</w:t>
      </w:r>
      <w:r w:rsidR="000243A7">
        <w:rPr>
          <w:sz w:val="26"/>
          <w:szCs w:val="26"/>
        </w:rPr>
        <w:t>,</w:t>
      </w:r>
      <w:r w:rsidR="00625A99" w:rsidRPr="00762D47">
        <w:rPr>
          <w:sz w:val="26"/>
          <w:szCs w:val="26"/>
        </w:rPr>
        <w:t xml:space="preserve"> et</w:t>
      </w:r>
      <w:r w:rsidR="00552EFF" w:rsidRPr="00762D47">
        <w:rPr>
          <w:sz w:val="26"/>
          <w:szCs w:val="26"/>
        </w:rPr>
        <w:t xml:space="preserve"> hors bilan</w:t>
      </w:r>
      <w:r w:rsidR="00CE5841" w:rsidRPr="00762D47">
        <w:rPr>
          <w:sz w:val="26"/>
          <w:szCs w:val="26"/>
        </w:rPr>
        <w:t xml:space="preserve"> </w:t>
      </w:r>
      <w:r w:rsidR="000243A7">
        <w:rPr>
          <w:sz w:val="26"/>
          <w:szCs w:val="26"/>
        </w:rPr>
        <w:t xml:space="preserve">de </w:t>
      </w:r>
      <w:r w:rsidR="00DF294C">
        <w:rPr>
          <w:sz w:val="26"/>
          <w:szCs w:val="26"/>
        </w:rPr>
        <w:t>18,19</w:t>
      </w:r>
      <w:r w:rsidR="000243A7">
        <w:rPr>
          <w:sz w:val="26"/>
          <w:szCs w:val="26"/>
        </w:rPr>
        <w:t>%, soit</w:t>
      </w:r>
      <w:r w:rsidR="0070712D" w:rsidRPr="00762D47">
        <w:rPr>
          <w:sz w:val="26"/>
          <w:szCs w:val="26"/>
        </w:rPr>
        <w:t xml:space="preserve"> </w:t>
      </w:r>
      <w:r w:rsidR="00625A99" w:rsidRPr="00762D47">
        <w:rPr>
          <w:sz w:val="26"/>
          <w:szCs w:val="26"/>
        </w:rPr>
        <w:t xml:space="preserve">XOF </w:t>
      </w:r>
      <w:r w:rsidR="00582DF7">
        <w:rPr>
          <w:sz w:val="26"/>
          <w:szCs w:val="26"/>
        </w:rPr>
        <w:t>154 444</w:t>
      </w:r>
      <w:r w:rsidR="00897F26">
        <w:rPr>
          <w:sz w:val="26"/>
          <w:szCs w:val="26"/>
        </w:rPr>
        <w:t xml:space="preserve"> millions</w:t>
      </w:r>
      <w:r w:rsidR="00625A99" w:rsidRPr="00762D47">
        <w:rPr>
          <w:sz w:val="26"/>
          <w:szCs w:val="26"/>
        </w:rPr>
        <w:t>.</w:t>
      </w:r>
    </w:p>
    <w:p w:rsidR="00C352B9" w:rsidRDefault="00C352B9" w:rsidP="00C352B9">
      <w:pPr>
        <w:tabs>
          <w:tab w:val="num" w:pos="720"/>
        </w:tabs>
        <w:spacing w:line="360" w:lineRule="auto"/>
        <w:jc w:val="both"/>
        <w:rPr>
          <w:sz w:val="26"/>
          <w:szCs w:val="26"/>
        </w:rPr>
      </w:pPr>
      <w:r>
        <w:rPr>
          <w:sz w:val="26"/>
          <w:szCs w:val="26"/>
        </w:rPr>
        <w:t xml:space="preserve">Le taux de sinistralité a connu une </w:t>
      </w:r>
      <w:r w:rsidR="00582DF7">
        <w:rPr>
          <w:sz w:val="26"/>
          <w:szCs w:val="26"/>
        </w:rPr>
        <w:t>légère amélioration de 4</w:t>
      </w:r>
      <w:r w:rsidR="00C842EC">
        <w:rPr>
          <w:sz w:val="26"/>
          <w:szCs w:val="26"/>
        </w:rPr>
        <w:t xml:space="preserve"> points de base</w:t>
      </w:r>
      <w:r w:rsidR="00DF294C">
        <w:rPr>
          <w:sz w:val="26"/>
          <w:szCs w:val="26"/>
        </w:rPr>
        <w:t>, passa</w:t>
      </w:r>
      <w:r w:rsidR="00582DF7">
        <w:rPr>
          <w:sz w:val="26"/>
          <w:szCs w:val="26"/>
        </w:rPr>
        <w:t>nt de 3,88% au 31/12/2020 à 3,84</w:t>
      </w:r>
      <w:r w:rsidR="00DF294C">
        <w:rPr>
          <w:sz w:val="26"/>
          <w:szCs w:val="26"/>
        </w:rPr>
        <w:t xml:space="preserve">% au 30/06/2021. Cette </w:t>
      </w:r>
      <w:r w:rsidR="00E90A92">
        <w:rPr>
          <w:sz w:val="26"/>
          <w:szCs w:val="26"/>
        </w:rPr>
        <w:t xml:space="preserve">amélioration </w:t>
      </w:r>
      <w:r w:rsidR="008F4CE3">
        <w:rPr>
          <w:sz w:val="26"/>
          <w:szCs w:val="26"/>
        </w:rPr>
        <w:t>s’explique</w:t>
      </w:r>
      <w:r w:rsidR="00E90A92">
        <w:rPr>
          <w:sz w:val="26"/>
          <w:szCs w:val="26"/>
        </w:rPr>
        <w:t xml:space="preserve"> </w:t>
      </w:r>
      <w:r w:rsidR="008F4CE3">
        <w:rPr>
          <w:sz w:val="26"/>
          <w:szCs w:val="26"/>
        </w:rPr>
        <w:t>une hausse plus proportionnelle des</w:t>
      </w:r>
      <w:r w:rsidR="00E90A92">
        <w:rPr>
          <w:sz w:val="26"/>
          <w:szCs w:val="26"/>
        </w:rPr>
        <w:t xml:space="preserve"> crédits sains.</w:t>
      </w:r>
    </w:p>
    <w:p w:rsidR="00A762BF" w:rsidRPr="0010679D" w:rsidRDefault="00A762BF" w:rsidP="00625A99">
      <w:pPr>
        <w:tabs>
          <w:tab w:val="num" w:pos="720"/>
        </w:tabs>
        <w:spacing w:line="360" w:lineRule="auto"/>
        <w:jc w:val="both"/>
        <w:rPr>
          <w:sz w:val="26"/>
          <w:szCs w:val="26"/>
        </w:rPr>
      </w:pPr>
    </w:p>
    <w:p w:rsidR="000E535F" w:rsidRPr="0060121D" w:rsidRDefault="00BB64E3" w:rsidP="00287542">
      <w:pPr>
        <w:pStyle w:val="Titre2"/>
        <w:rPr>
          <w:color w:val="auto"/>
        </w:rPr>
      </w:pPr>
      <w:bookmarkStart w:id="6" w:name="_Toc79511685"/>
      <w:r w:rsidRPr="0060121D">
        <w:rPr>
          <w:b/>
          <w:color w:val="auto"/>
        </w:rPr>
        <w:t>2.</w:t>
      </w:r>
      <w:r w:rsidR="00C40010" w:rsidRPr="0060121D">
        <w:rPr>
          <w:b/>
          <w:color w:val="auto"/>
        </w:rPr>
        <w:t>2</w:t>
      </w:r>
      <w:r w:rsidRPr="0060121D">
        <w:rPr>
          <w:b/>
          <w:color w:val="auto"/>
        </w:rPr>
        <w:t>. La concentration du risque (cinquante plus gros engagements)</w:t>
      </w:r>
      <w:bookmarkEnd w:id="6"/>
    </w:p>
    <w:p w:rsidR="000E535F" w:rsidRPr="0010679D" w:rsidRDefault="000E535F" w:rsidP="000E535F">
      <w:pPr>
        <w:rPr>
          <w:sz w:val="26"/>
          <w:szCs w:val="26"/>
        </w:rPr>
      </w:pPr>
    </w:p>
    <w:p w:rsidR="0066637B" w:rsidRDefault="000E535F" w:rsidP="009D0E71">
      <w:pPr>
        <w:rPr>
          <w:sz w:val="26"/>
          <w:szCs w:val="26"/>
        </w:rPr>
      </w:pPr>
      <w:r w:rsidRPr="0010679D">
        <w:rPr>
          <w:sz w:val="26"/>
          <w:szCs w:val="26"/>
        </w:rPr>
        <w:t xml:space="preserve">Au </w:t>
      </w:r>
      <w:r w:rsidR="00C96FEA" w:rsidRPr="0010679D">
        <w:rPr>
          <w:sz w:val="26"/>
          <w:szCs w:val="26"/>
        </w:rPr>
        <w:t>3</w:t>
      </w:r>
      <w:r w:rsidR="00EA59D6">
        <w:rPr>
          <w:sz w:val="26"/>
          <w:szCs w:val="26"/>
        </w:rPr>
        <w:t>0</w:t>
      </w:r>
      <w:r w:rsidR="000E5926">
        <w:rPr>
          <w:sz w:val="26"/>
          <w:szCs w:val="26"/>
        </w:rPr>
        <w:t xml:space="preserve"> </w:t>
      </w:r>
      <w:r w:rsidR="00EA59D6">
        <w:rPr>
          <w:sz w:val="26"/>
          <w:szCs w:val="26"/>
        </w:rPr>
        <w:t>juin 2021</w:t>
      </w:r>
      <w:r w:rsidRPr="0010679D">
        <w:rPr>
          <w:sz w:val="26"/>
          <w:szCs w:val="26"/>
        </w:rPr>
        <w:t>, la situation des 50 plus gros engagements</w:t>
      </w:r>
      <w:r w:rsidR="00317487">
        <w:rPr>
          <w:sz w:val="26"/>
          <w:szCs w:val="26"/>
        </w:rPr>
        <w:t xml:space="preserve"> du </w:t>
      </w:r>
      <w:r w:rsidR="00317487" w:rsidRPr="0066637B">
        <w:rPr>
          <w:sz w:val="26"/>
          <w:szCs w:val="26"/>
        </w:rPr>
        <w:t>Groupe Coris</w:t>
      </w:r>
      <w:r w:rsidRPr="0010679D">
        <w:rPr>
          <w:sz w:val="26"/>
          <w:szCs w:val="26"/>
        </w:rPr>
        <w:t xml:space="preserve"> se présente comme </w:t>
      </w:r>
      <w:r w:rsidR="0086406D" w:rsidRPr="0010679D">
        <w:rPr>
          <w:sz w:val="26"/>
          <w:szCs w:val="26"/>
        </w:rPr>
        <w:t>suit :</w:t>
      </w:r>
    </w:p>
    <w:p w:rsidR="00DB55BD" w:rsidRDefault="00657279" w:rsidP="009D0E71">
      <w:pPr>
        <w:rPr>
          <w:sz w:val="26"/>
          <w:szCs w:val="26"/>
        </w:rPr>
      </w:pPr>
      <w:r>
        <w:rPr>
          <w:sz w:val="26"/>
          <w:szCs w:val="26"/>
        </w:rPr>
        <w:t xml:space="preserve"> </w:t>
      </w:r>
    </w:p>
    <w:p w:rsidR="0066637B" w:rsidRDefault="0066637B" w:rsidP="009D0E71">
      <w:pPr>
        <w:rPr>
          <w:sz w:val="28"/>
          <w:szCs w:val="28"/>
        </w:rPr>
      </w:pPr>
    </w:p>
    <w:tbl>
      <w:tblPr>
        <w:tblW w:w="9580" w:type="dxa"/>
        <w:tblCellMar>
          <w:left w:w="70" w:type="dxa"/>
          <w:right w:w="70" w:type="dxa"/>
        </w:tblCellMar>
        <w:tblLook w:val="04A0" w:firstRow="1" w:lastRow="0" w:firstColumn="1" w:lastColumn="0" w:noHBand="0" w:noVBand="1"/>
      </w:tblPr>
      <w:tblGrid>
        <w:gridCol w:w="612"/>
        <w:gridCol w:w="4826"/>
        <w:gridCol w:w="1298"/>
        <w:gridCol w:w="1321"/>
        <w:gridCol w:w="1587"/>
      </w:tblGrid>
      <w:tr w:rsidR="00215516" w:rsidTr="00215516">
        <w:trPr>
          <w:trHeight w:val="540"/>
          <w:tblHeader/>
        </w:trPr>
        <w:tc>
          <w:tcPr>
            <w:tcW w:w="548" w:type="dxa"/>
            <w:tcBorders>
              <w:top w:val="single" w:sz="4" w:space="0" w:color="auto"/>
              <w:left w:val="single" w:sz="4" w:space="0" w:color="auto"/>
              <w:bottom w:val="single" w:sz="4" w:space="0" w:color="auto"/>
              <w:right w:val="single" w:sz="4" w:space="0" w:color="auto"/>
            </w:tcBorders>
            <w:shd w:val="clear" w:color="000000" w:fill="002060"/>
            <w:vAlign w:val="center"/>
            <w:hideMark/>
          </w:tcPr>
          <w:p w:rsidR="00215516" w:rsidRDefault="00215516">
            <w:pPr>
              <w:jc w:val="center"/>
              <w:rPr>
                <w:rFonts w:ascii="Arial" w:hAnsi="Arial" w:cs="Arial"/>
                <w:b/>
                <w:bCs/>
                <w:color w:val="FFFFFF"/>
                <w:sz w:val="16"/>
                <w:szCs w:val="16"/>
              </w:rPr>
            </w:pPr>
            <w:r>
              <w:rPr>
                <w:rFonts w:ascii="Arial" w:hAnsi="Arial" w:cs="Arial"/>
                <w:b/>
                <w:bCs/>
                <w:color w:val="FFFFFF"/>
                <w:sz w:val="16"/>
                <w:szCs w:val="16"/>
              </w:rPr>
              <w:t>RANG</w:t>
            </w:r>
          </w:p>
        </w:tc>
        <w:tc>
          <w:tcPr>
            <w:tcW w:w="4826" w:type="dxa"/>
            <w:tcBorders>
              <w:top w:val="single" w:sz="4" w:space="0" w:color="auto"/>
              <w:left w:val="nil"/>
              <w:bottom w:val="single" w:sz="4" w:space="0" w:color="auto"/>
              <w:right w:val="single" w:sz="4" w:space="0" w:color="auto"/>
            </w:tcBorders>
            <w:shd w:val="clear" w:color="000000" w:fill="002060"/>
            <w:vAlign w:val="center"/>
            <w:hideMark/>
          </w:tcPr>
          <w:p w:rsidR="00215516" w:rsidRDefault="00215516">
            <w:pPr>
              <w:jc w:val="center"/>
              <w:rPr>
                <w:rFonts w:ascii="Arial" w:hAnsi="Arial" w:cs="Arial"/>
                <w:b/>
                <w:bCs/>
                <w:color w:val="FFFFFF"/>
                <w:sz w:val="16"/>
                <w:szCs w:val="16"/>
              </w:rPr>
            </w:pPr>
            <w:r>
              <w:rPr>
                <w:rFonts w:ascii="Arial" w:hAnsi="Arial" w:cs="Arial"/>
                <w:b/>
                <w:bCs/>
                <w:color w:val="FFFFFF"/>
                <w:sz w:val="16"/>
                <w:szCs w:val="16"/>
              </w:rPr>
              <w:t>Nom client</w:t>
            </w:r>
          </w:p>
        </w:tc>
        <w:tc>
          <w:tcPr>
            <w:tcW w:w="1298" w:type="dxa"/>
            <w:tcBorders>
              <w:top w:val="single" w:sz="4" w:space="0" w:color="auto"/>
              <w:left w:val="nil"/>
              <w:bottom w:val="single" w:sz="4" w:space="0" w:color="auto"/>
              <w:right w:val="single" w:sz="4" w:space="0" w:color="auto"/>
            </w:tcBorders>
            <w:shd w:val="clear" w:color="000000" w:fill="002060"/>
            <w:vAlign w:val="center"/>
            <w:hideMark/>
          </w:tcPr>
          <w:p w:rsidR="00215516" w:rsidRDefault="00215516">
            <w:pPr>
              <w:jc w:val="center"/>
              <w:rPr>
                <w:rFonts w:ascii="Arial" w:hAnsi="Arial" w:cs="Arial"/>
                <w:b/>
                <w:bCs/>
                <w:color w:val="FFFFFF"/>
                <w:sz w:val="16"/>
                <w:szCs w:val="16"/>
              </w:rPr>
            </w:pPr>
            <w:r>
              <w:rPr>
                <w:rFonts w:ascii="Arial" w:hAnsi="Arial" w:cs="Arial"/>
                <w:b/>
                <w:bCs/>
                <w:color w:val="FFFFFF"/>
                <w:sz w:val="16"/>
                <w:szCs w:val="16"/>
              </w:rPr>
              <w:t xml:space="preserve"> Trésorerie </w:t>
            </w:r>
          </w:p>
        </w:tc>
        <w:tc>
          <w:tcPr>
            <w:tcW w:w="1321" w:type="dxa"/>
            <w:tcBorders>
              <w:top w:val="single" w:sz="4" w:space="0" w:color="auto"/>
              <w:left w:val="nil"/>
              <w:bottom w:val="single" w:sz="4" w:space="0" w:color="auto"/>
              <w:right w:val="single" w:sz="4" w:space="0" w:color="auto"/>
            </w:tcBorders>
            <w:shd w:val="clear" w:color="000000" w:fill="002060"/>
            <w:vAlign w:val="center"/>
            <w:hideMark/>
          </w:tcPr>
          <w:p w:rsidR="00215516" w:rsidRDefault="00215516">
            <w:pPr>
              <w:jc w:val="center"/>
              <w:rPr>
                <w:rFonts w:ascii="Arial" w:hAnsi="Arial" w:cs="Arial"/>
                <w:b/>
                <w:bCs/>
                <w:color w:val="FFFFFF"/>
                <w:sz w:val="16"/>
                <w:szCs w:val="16"/>
              </w:rPr>
            </w:pPr>
            <w:r>
              <w:rPr>
                <w:rFonts w:ascii="Arial" w:hAnsi="Arial" w:cs="Arial"/>
                <w:b/>
                <w:bCs/>
                <w:color w:val="FFFFFF"/>
                <w:sz w:val="16"/>
                <w:szCs w:val="16"/>
              </w:rPr>
              <w:t xml:space="preserve"> Signature </w:t>
            </w:r>
          </w:p>
        </w:tc>
        <w:tc>
          <w:tcPr>
            <w:tcW w:w="1587" w:type="dxa"/>
            <w:tcBorders>
              <w:top w:val="single" w:sz="4" w:space="0" w:color="auto"/>
              <w:left w:val="nil"/>
              <w:bottom w:val="single" w:sz="4" w:space="0" w:color="auto"/>
              <w:right w:val="single" w:sz="4" w:space="0" w:color="auto"/>
            </w:tcBorders>
            <w:shd w:val="clear" w:color="000000" w:fill="002060"/>
            <w:vAlign w:val="center"/>
            <w:hideMark/>
          </w:tcPr>
          <w:p w:rsidR="00215516" w:rsidRDefault="00215516">
            <w:pPr>
              <w:jc w:val="center"/>
              <w:rPr>
                <w:rFonts w:ascii="Arial" w:hAnsi="Arial" w:cs="Arial"/>
                <w:b/>
                <w:bCs/>
                <w:color w:val="FFFFFF"/>
                <w:sz w:val="16"/>
                <w:szCs w:val="16"/>
              </w:rPr>
            </w:pPr>
            <w:r>
              <w:rPr>
                <w:rFonts w:ascii="Arial" w:hAnsi="Arial" w:cs="Arial"/>
                <w:b/>
                <w:bCs/>
                <w:color w:val="FFFFFF"/>
                <w:sz w:val="16"/>
                <w:szCs w:val="16"/>
              </w:rPr>
              <w:t xml:space="preserve">  Total engagements bruts </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ETAT DE COTE D'IVOIRE</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166 039</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166 039</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Pr="00215516" w:rsidRDefault="00215516">
            <w:pPr>
              <w:rPr>
                <w:rFonts w:ascii="Arial" w:hAnsi="Arial" w:cs="Arial"/>
                <w:sz w:val="16"/>
                <w:szCs w:val="16"/>
                <w:lang w:val="en-US"/>
              </w:rPr>
            </w:pPr>
            <w:r w:rsidRPr="00215516">
              <w:rPr>
                <w:rFonts w:ascii="Arial" w:hAnsi="Arial" w:cs="Arial"/>
                <w:sz w:val="16"/>
                <w:szCs w:val="16"/>
                <w:lang w:val="en-US"/>
              </w:rPr>
              <w:t xml:space="preserve">DER MOND OIL AND GAS AFRICA SA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11 446</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133 922</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145 368</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ETAT DU SENEGAL</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126 815</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126 815</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SOCIETE IVOIRIENNE DE RAFFINAGE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95 838</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95 838</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5</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AFRICAINE DES TRAVAUX PUBLICS SA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33 550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37 817</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71 367</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6</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ETAT DU BURKINA</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70 000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70 000</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7</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SENELEC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47 983</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3 395</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51 378</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8</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SOCIETE BURKINABE DES FIBRES TEXTILE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49 749</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49 749</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9</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SODECO</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14 010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30 391</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44 401</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10</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SOCIETE DES PATRIMOINES IMMOBILIERS DE L'ETAT</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33 409</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5 592</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39 000</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11</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PORT AUTONNOME DE COTONOU</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38 686</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38 686</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Pr="00215516" w:rsidRDefault="00215516">
            <w:pPr>
              <w:rPr>
                <w:rFonts w:ascii="Arial" w:hAnsi="Arial" w:cs="Arial"/>
                <w:sz w:val="16"/>
                <w:szCs w:val="16"/>
                <w:lang w:val="en-US"/>
              </w:rPr>
            </w:pPr>
            <w:r w:rsidRPr="00215516">
              <w:rPr>
                <w:rFonts w:ascii="Arial" w:hAnsi="Arial" w:cs="Arial"/>
                <w:sz w:val="16"/>
                <w:szCs w:val="16"/>
                <w:lang w:val="en-US"/>
              </w:rPr>
              <w:t xml:space="preserve">WEST AFRICA FATS AND OIL INDUSTRY BE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8 216</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27 178</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35 394</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13</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SOROUBAT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14 028</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20 949</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34 977</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OFMAS INTERNATIONAL</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26 568</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6 094</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32 662</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15</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IMPACT PALMARES R &amp; D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28 910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28 910</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16</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GLOBEX CONSTRUCTION SARL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13 876</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14 163</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28 039</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17</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TOGUNA SARL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6 671</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20 600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27 271</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18</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GROUPEMENT DES EXPORTATEURS ET PROFE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24 640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24 640</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19</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MALIBA MINING SERVICES &amp; JUNCTION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24 441</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24 441</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20</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SUMMA CONSTRUCTION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3 960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17 125</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21 085</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21</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CGRAE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20 475</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20 475</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22</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ETISALAT BENIN</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20 248</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147</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20 395</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23</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ZAMANI TELECOM NIGER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20 000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20 000</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24</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OMH-PROGRAMME DES 20000 LGTS SOCIAUX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19 656</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19 656</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25</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SOCIETE IMMOBILIERE ET D'AMENAGEMENT URBAIN (SIMAU)</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18 449</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18 449</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26</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NANA BOUREIMA (ETS NANA BOUREIMA)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8 006</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10 426</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18 432</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27</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ENVOL IMMOBILIER SENEGAL SA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17 483</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17 483</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28</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CNPS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17 271</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17 271</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29</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DIA HAROUNA(ETABLISSEMENT DIA HAROUN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16 671</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16 671</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30</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GIE CMDT OHVN UN SCPC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16 622</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16 622</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31</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KANIS COMMODITIES SA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3 050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13 173</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16 223</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32</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ASFADAR SA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10 250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5 800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16 050</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33</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SFTP SA</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14 659</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558</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15 217</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34</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RESIDENCE KOME SA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9 154</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6 000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15 154</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35</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COMPTE PROJET/REHABILITATION DES VOI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15 049</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15 049</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36</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CIMENTERIE DE LA COTE OUEST AFRICAIN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10 000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5 000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15 000</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37</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SGTM CI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14 731</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14 731</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38</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GR/DE EN/SE DE BATIMENT ET DE GEN CI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12 067</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2 411</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14 479</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39</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TAN IVOIRE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13 964</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70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14 034</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40</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ATLANTIC ALLIANCE JET- SAU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93</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13 775</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13 868</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41</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ETAT DU BENIN</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5 955</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7 839</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13 794</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42</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ASI BF SA</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2 417</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11 276</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13 693</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43</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SOCIETE D'HABITATIONS MODEREES (SHM)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12 886</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12 886</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44</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SGTISARL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700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12 100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12 800</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45</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IPRES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9 500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3 000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12 500</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46</w:t>
            </w:r>
          </w:p>
        </w:tc>
        <w:tc>
          <w:tcPr>
            <w:tcW w:w="4826" w:type="dxa"/>
            <w:tcBorders>
              <w:top w:val="nil"/>
              <w:left w:val="nil"/>
              <w:bottom w:val="single" w:sz="4" w:space="0" w:color="auto"/>
              <w:right w:val="single" w:sz="4" w:space="0" w:color="auto"/>
            </w:tcBorders>
            <w:shd w:val="clear" w:color="auto" w:fill="auto"/>
            <w:vAlign w:val="center"/>
            <w:hideMark/>
          </w:tcPr>
          <w:p w:rsidR="00215516" w:rsidRDefault="00215516">
            <w:pPr>
              <w:rPr>
                <w:rFonts w:ascii="Arial" w:hAnsi="Arial" w:cs="Arial"/>
                <w:sz w:val="16"/>
                <w:szCs w:val="16"/>
              </w:rPr>
            </w:pPr>
            <w:r>
              <w:rPr>
                <w:rFonts w:ascii="Arial" w:hAnsi="Arial" w:cs="Arial"/>
                <w:sz w:val="16"/>
                <w:szCs w:val="16"/>
              </w:rPr>
              <w:t xml:space="preserve">GROUPEMENT SGTM SFT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1 195</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11 207</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12 402</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47</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SOCIETE DES ENTREPRISES DE CONSTRUCT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500</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10 668</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11 168</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48</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ORANGE NIGER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11 001</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0</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11 001</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49</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TROPIC AGRO CHEM SARL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3 362</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7 445</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10 808</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50</w:t>
            </w:r>
          </w:p>
        </w:tc>
        <w:tc>
          <w:tcPr>
            <w:tcW w:w="4826" w:type="dxa"/>
            <w:tcBorders>
              <w:top w:val="nil"/>
              <w:left w:val="nil"/>
              <w:bottom w:val="single" w:sz="4" w:space="0" w:color="auto"/>
              <w:right w:val="single" w:sz="4" w:space="0" w:color="auto"/>
            </w:tcBorders>
            <w:shd w:val="clear" w:color="auto" w:fill="auto"/>
            <w:noWrap/>
            <w:vAlign w:val="center"/>
            <w:hideMark/>
          </w:tcPr>
          <w:p w:rsidR="00215516" w:rsidRDefault="00215516">
            <w:pPr>
              <w:rPr>
                <w:rFonts w:ascii="Arial" w:hAnsi="Arial" w:cs="Arial"/>
                <w:sz w:val="16"/>
                <w:szCs w:val="16"/>
              </w:rPr>
            </w:pPr>
            <w:r>
              <w:rPr>
                <w:rFonts w:ascii="Arial" w:hAnsi="Arial" w:cs="Arial"/>
                <w:sz w:val="16"/>
                <w:szCs w:val="16"/>
              </w:rPr>
              <w:t xml:space="preserve">SOCIETE DE DISTRIBUTION DU MALI SARL </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2 341</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8 184</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color w:val="000000"/>
                <w:sz w:val="16"/>
                <w:szCs w:val="16"/>
              </w:rPr>
            </w:pPr>
            <w:r>
              <w:rPr>
                <w:rFonts w:ascii="Arial" w:hAnsi="Arial" w:cs="Arial"/>
                <w:color w:val="000000"/>
                <w:sz w:val="16"/>
                <w:szCs w:val="16"/>
              </w:rPr>
              <w:t>10 525</w:t>
            </w:r>
          </w:p>
        </w:tc>
      </w:tr>
      <w:tr w:rsidR="00215516" w:rsidTr="00215516">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215516" w:rsidRDefault="00215516">
            <w:pPr>
              <w:rPr>
                <w:rFonts w:ascii="Arial" w:hAnsi="Arial" w:cs="Arial"/>
                <w:b/>
                <w:bCs/>
                <w:color w:val="000000"/>
                <w:sz w:val="16"/>
                <w:szCs w:val="16"/>
              </w:rPr>
            </w:pPr>
            <w:r>
              <w:rPr>
                <w:rFonts w:ascii="Arial" w:hAnsi="Arial" w:cs="Arial"/>
                <w:b/>
                <w:bCs/>
                <w:color w:val="000000"/>
                <w:sz w:val="16"/>
                <w:szCs w:val="16"/>
              </w:rPr>
              <w:t> </w:t>
            </w:r>
          </w:p>
        </w:tc>
        <w:tc>
          <w:tcPr>
            <w:tcW w:w="4826" w:type="dxa"/>
            <w:tcBorders>
              <w:top w:val="nil"/>
              <w:left w:val="nil"/>
              <w:bottom w:val="single" w:sz="4" w:space="0" w:color="auto"/>
              <w:right w:val="single" w:sz="4" w:space="0" w:color="auto"/>
            </w:tcBorders>
            <w:shd w:val="clear" w:color="auto" w:fill="auto"/>
            <w:vAlign w:val="center"/>
            <w:hideMark/>
          </w:tcPr>
          <w:p w:rsidR="00215516" w:rsidRDefault="00215516">
            <w:pPr>
              <w:rPr>
                <w:rFonts w:ascii="Arial" w:hAnsi="Arial" w:cs="Arial"/>
                <w:b/>
                <w:bCs/>
                <w:sz w:val="16"/>
                <w:szCs w:val="16"/>
              </w:rPr>
            </w:pPr>
            <w:r>
              <w:rPr>
                <w:rFonts w:ascii="Arial" w:hAnsi="Arial" w:cs="Arial"/>
                <w:b/>
                <w:bCs/>
                <w:sz w:val="16"/>
                <w:szCs w:val="16"/>
              </w:rPr>
              <w:t>TOTAL</w:t>
            </w:r>
          </w:p>
        </w:tc>
        <w:tc>
          <w:tcPr>
            <w:tcW w:w="1298"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b/>
                <w:bCs/>
                <w:color w:val="000000"/>
                <w:sz w:val="16"/>
                <w:szCs w:val="16"/>
              </w:rPr>
            </w:pPr>
            <w:r>
              <w:rPr>
                <w:rFonts w:ascii="Arial" w:hAnsi="Arial" w:cs="Arial"/>
                <w:b/>
                <w:bCs/>
                <w:color w:val="000000"/>
                <w:sz w:val="16"/>
                <w:szCs w:val="16"/>
              </w:rPr>
              <w:t>1 056 023</w:t>
            </w:r>
          </w:p>
        </w:tc>
        <w:tc>
          <w:tcPr>
            <w:tcW w:w="1321"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b/>
                <w:bCs/>
                <w:color w:val="000000"/>
                <w:sz w:val="16"/>
                <w:szCs w:val="16"/>
              </w:rPr>
            </w:pPr>
            <w:r>
              <w:rPr>
                <w:rFonts w:ascii="Arial" w:hAnsi="Arial" w:cs="Arial"/>
                <w:b/>
                <w:bCs/>
                <w:color w:val="000000"/>
                <w:sz w:val="16"/>
                <w:szCs w:val="16"/>
              </w:rPr>
              <w:t>556 875</w:t>
            </w:r>
          </w:p>
        </w:tc>
        <w:tc>
          <w:tcPr>
            <w:tcW w:w="1587" w:type="dxa"/>
            <w:tcBorders>
              <w:top w:val="nil"/>
              <w:left w:val="nil"/>
              <w:bottom w:val="single" w:sz="4" w:space="0" w:color="auto"/>
              <w:right w:val="single" w:sz="4" w:space="0" w:color="auto"/>
            </w:tcBorders>
            <w:shd w:val="clear" w:color="auto" w:fill="auto"/>
            <w:noWrap/>
            <w:vAlign w:val="center"/>
            <w:hideMark/>
          </w:tcPr>
          <w:p w:rsidR="00215516" w:rsidRDefault="00215516">
            <w:pPr>
              <w:jc w:val="center"/>
              <w:rPr>
                <w:rFonts w:ascii="Arial" w:hAnsi="Arial" w:cs="Arial"/>
                <w:b/>
                <w:bCs/>
                <w:color w:val="000000"/>
                <w:sz w:val="16"/>
                <w:szCs w:val="16"/>
              </w:rPr>
            </w:pPr>
            <w:r>
              <w:rPr>
                <w:rFonts w:ascii="Arial" w:hAnsi="Arial" w:cs="Arial"/>
                <w:b/>
                <w:bCs/>
                <w:color w:val="000000"/>
                <w:sz w:val="16"/>
                <w:szCs w:val="16"/>
              </w:rPr>
              <w:t>1 612 898</w:t>
            </w:r>
          </w:p>
        </w:tc>
      </w:tr>
    </w:tbl>
    <w:p w:rsidR="00A37CD0" w:rsidRDefault="00A37CD0" w:rsidP="008664D5">
      <w:pPr>
        <w:spacing w:line="360" w:lineRule="auto"/>
        <w:jc w:val="both"/>
        <w:rPr>
          <w:sz w:val="26"/>
          <w:szCs w:val="26"/>
        </w:rPr>
      </w:pPr>
    </w:p>
    <w:p w:rsidR="00DD0EE5" w:rsidRDefault="00DD0EE5" w:rsidP="008664D5">
      <w:pPr>
        <w:spacing w:line="360" w:lineRule="auto"/>
        <w:jc w:val="both"/>
        <w:rPr>
          <w:sz w:val="26"/>
          <w:szCs w:val="26"/>
          <w:highlight w:val="yellow"/>
        </w:rPr>
      </w:pPr>
      <w:r w:rsidRPr="00DD0EE5">
        <w:rPr>
          <w:sz w:val="26"/>
          <w:szCs w:val="26"/>
        </w:rPr>
        <w:t xml:space="preserve">A fin </w:t>
      </w:r>
      <w:r>
        <w:rPr>
          <w:sz w:val="26"/>
          <w:szCs w:val="26"/>
        </w:rPr>
        <w:t>juin 2021</w:t>
      </w:r>
      <w:r w:rsidRPr="00DD0EE5">
        <w:rPr>
          <w:sz w:val="26"/>
          <w:szCs w:val="26"/>
        </w:rPr>
        <w:t xml:space="preserve">, la concentration globale du risque sur les 50 plus gros engagements a </w:t>
      </w:r>
      <w:r>
        <w:rPr>
          <w:sz w:val="26"/>
          <w:szCs w:val="26"/>
        </w:rPr>
        <w:t>connu une baisse de 328 points de base</w:t>
      </w:r>
      <w:r w:rsidRPr="00DD0EE5">
        <w:rPr>
          <w:sz w:val="26"/>
          <w:szCs w:val="26"/>
        </w:rPr>
        <w:t xml:space="preserve"> pour </w:t>
      </w:r>
      <w:r>
        <w:rPr>
          <w:sz w:val="26"/>
          <w:szCs w:val="26"/>
        </w:rPr>
        <w:t>s’afficher à 52,04% contre 55,33</w:t>
      </w:r>
      <w:r w:rsidRPr="00DD0EE5">
        <w:rPr>
          <w:sz w:val="26"/>
          <w:szCs w:val="26"/>
        </w:rPr>
        <w:t>% au semestre précédent.</w:t>
      </w:r>
    </w:p>
    <w:p w:rsidR="00A37CD0" w:rsidRDefault="00A37CD0" w:rsidP="008664D5">
      <w:pPr>
        <w:spacing w:line="360" w:lineRule="auto"/>
        <w:jc w:val="both"/>
        <w:rPr>
          <w:sz w:val="26"/>
          <w:szCs w:val="26"/>
        </w:rPr>
      </w:pPr>
      <w:r w:rsidRPr="00DD0EE5">
        <w:rPr>
          <w:sz w:val="26"/>
          <w:szCs w:val="26"/>
        </w:rPr>
        <w:t xml:space="preserve">Les 50 plus gros engagements du Groupe Coris sont constitués </w:t>
      </w:r>
      <w:r w:rsidR="004F5848" w:rsidRPr="00DD0EE5">
        <w:rPr>
          <w:sz w:val="26"/>
          <w:szCs w:val="26"/>
        </w:rPr>
        <w:t>à</w:t>
      </w:r>
      <w:r w:rsidR="00DD0EE5" w:rsidRPr="00DD0EE5">
        <w:rPr>
          <w:sz w:val="26"/>
          <w:szCs w:val="26"/>
        </w:rPr>
        <w:t xml:space="preserve"> 65</w:t>
      </w:r>
      <w:r w:rsidRPr="00DD0EE5">
        <w:rPr>
          <w:sz w:val="26"/>
          <w:szCs w:val="26"/>
        </w:rPr>
        <w:t xml:space="preserve">% d’engagements directs et </w:t>
      </w:r>
      <w:r w:rsidR="00CA39ED" w:rsidRPr="00DD0EE5">
        <w:rPr>
          <w:sz w:val="26"/>
          <w:szCs w:val="26"/>
        </w:rPr>
        <w:t xml:space="preserve">à </w:t>
      </w:r>
      <w:r w:rsidR="00DD0EE5" w:rsidRPr="00DD0EE5">
        <w:rPr>
          <w:sz w:val="26"/>
          <w:szCs w:val="26"/>
        </w:rPr>
        <w:t>35</w:t>
      </w:r>
      <w:r w:rsidRPr="00DD0EE5">
        <w:rPr>
          <w:sz w:val="26"/>
          <w:szCs w:val="26"/>
        </w:rPr>
        <w:t>% d’engagements indirects.</w:t>
      </w:r>
    </w:p>
    <w:p w:rsidR="00B45C05" w:rsidRDefault="00B45C05" w:rsidP="001F6889">
      <w:pPr>
        <w:pStyle w:val="NormalWeb"/>
        <w:spacing w:before="0" w:beforeAutospacing="0" w:after="0" w:afterAutospacing="0" w:line="360" w:lineRule="auto"/>
        <w:jc w:val="both"/>
        <w:rPr>
          <w:sz w:val="26"/>
          <w:szCs w:val="26"/>
        </w:rPr>
      </w:pPr>
    </w:p>
    <w:p w:rsidR="00BF11F3" w:rsidRPr="0010679D" w:rsidRDefault="00BF11F3" w:rsidP="001F6889">
      <w:pPr>
        <w:pStyle w:val="NormalWeb"/>
        <w:spacing w:before="0" w:beforeAutospacing="0" w:after="0" w:afterAutospacing="0" w:line="360" w:lineRule="auto"/>
        <w:jc w:val="both"/>
        <w:rPr>
          <w:sz w:val="26"/>
          <w:szCs w:val="26"/>
        </w:rPr>
      </w:pPr>
    </w:p>
    <w:p w:rsidR="006072A0" w:rsidRPr="00FD55F7" w:rsidRDefault="006072A0" w:rsidP="00FD55F7">
      <w:pPr>
        <w:pStyle w:val="Paragraphedeliste"/>
        <w:numPr>
          <w:ilvl w:val="0"/>
          <w:numId w:val="2"/>
        </w:numPr>
        <w:spacing w:line="360" w:lineRule="auto"/>
        <w:outlineLvl w:val="0"/>
        <w:rPr>
          <w:rFonts w:ascii="Times New Roman" w:hAnsi="Times New Roman" w:cs="Times New Roman"/>
          <w:b/>
          <w:sz w:val="26"/>
          <w:szCs w:val="26"/>
          <w:u w:val="single"/>
        </w:rPr>
      </w:pPr>
      <w:bookmarkStart w:id="7" w:name="_Toc79511686"/>
      <w:r w:rsidRPr="00FD55F7">
        <w:rPr>
          <w:rFonts w:ascii="Times New Roman" w:hAnsi="Times New Roman" w:cs="Times New Roman"/>
          <w:b/>
          <w:sz w:val="26"/>
          <w:szCs w:val="26"/>
          <w:u w:val="single"/>
        </w:rPr>
        <w:t>REVISION DU PORTEFEUILLE</w:t>
      </w:r>
      <w:bookmarkEnd w:id="7"/>
    </w:p>
    <w:p w:rsidR="006072A0" w:rsidRPr="0060121D" w:rsidRDefault="006072A0" w:rsidP="00287542">
      <w:pPr>
        <w:pStyle w:val="Titre2"/>
        <w:rPr>
          <w:b/>
          <w:color w:val="auto"/>
        </w:rPr>
      </w:pPr>
      <w:bookmarkStart w:id="8" w:name="_Toc79511687"/>
      <w:r w:rsidRPr="0060121D">
        <w:rPr>
          <w:b/>
          <w:color w:val="auto"/>
        </w:rPr>
        <w:t xml:space="preserve">3.1. </w:t>
      </w:r>
      <w:r w:rsidR="00EA6625" w:rsidRPr="0060121D">
        <w:rPr>
          <w:b/>
          <w:color w:val="auto"/>
        </w:rPr>
        <w:t>Objectif</w:t>
      </w:r>
      <w:bookmarkEnd w:id="8"/>
    </w:p>
    <w:p w:rsidR="0060121D" w:rsidRDefault="0060121D" w:rsidP="00DB6339">
      <w:pPr>
        <w:spacing w:line="360" w:lineRule="auto"/>
        <w:jc w:val="both"/>
        <w:rPr>
          <w:sz w:val="26"/>
          <w:szCs w:val="26"/>
        </w:rPr>
      </w:pPr>
    </w:p>
    <w:p w:rsidR="00AB18CB" w:rsidRPr="0010679D" w:rsidRDefault="00EA6625" w:rsidP="00DB6339">
      <w:pPr>
        <w:spacing w:line="360" w:lineRule="auto"/>
        <w:jc w:val="both"/>
        <w:rPr>
          <w:sz w:val="26"/>
          <w:szCs w:val="26"/>
        </w:rPr>
      </w:pPr>
      <w:r w:rsidRPr="0010679D">
        <w:rPr>
          <w:sz w:val="26"/>
          <w:szCs w:val="26"/>
        </w:rPr>
        <w:t>La révi</w:t>
      </w:r>
      <w:r w:rsidR="006072A0" w:rsidRPr="0010679D">
        <w:rPr>
          <w:sz w:val="26"/>
          <w:szCs w:val="26"/>
        </w:rPr>
        <w:t>sion du portefeuille de cré</w:t>
      </w:r>
      <w:r w:rsidRPr="0010679D">
        <w:rPr>
          <w:sz w:val="26"/>
          <w:szCs w:val="26"/>
        </w:rPr>
        <w:t>dit</w:t>
      </w:r>
      <w:r w:rsidR="00CB1A04" w:rsidRPr="0010679D">
        <w:rPr>
          <w:sz w:val="26"/>
          <w:szCs w:val="26"/>
        </w:rPr>
        <w:t>s</w:t>
      </w:r>
      <w:r w:rsidRPr="0010679D">
        <w:rPr>
          <w:sz w:val="26"/>
          <w:szCs w:val="26"/>
        </w:rPr>
        <w:t xml:space="preserve"> </w:t>
      </w:r>
      <w:r w:rsidR="00D60818">
        <w:rPr>
          <w:sz w:val="26"/>
          <w:szCs w:val="26"/>
        </w:rPr>
        <w:t xml:space="preserve">de </w:t>
      </w:r>
      <w:r w:rsidR="006E6174">
        <w:rPr>
          <w:sz w:val="26"/>
          <w:szCs w:val="26"/>
        </w:rPr>
        <w:t>Coris Holding</w:t>
      </w:r>
      <w:r w:rsidR="00D60818">
        <w:rPr>
          <w:sz w:val="26"/>
          <w:szCs w:val="26"/>
        </w:rPr>
        <w:t xml:space="preserve"> </w:t>
      </w:r>
      <w:r w:rsidRPr="0010679D">
        <w:rPr>
          <w:sz w:val="26"/>
          <w:szCs w:val="26"/>
        </w:rPr>
        <w:t>répond à l’objectif de</w:t>
      </w:r>
      <w:r w:rsidR="0097093B" w:rsidRPr="0010679D">
        <w:rPr>
          <w:sz w:val="26"/>
          <w:szCs w:val="26"/>
        </w:rPr>
        <w:t xml:space="preserve"> v</w:t>
      </w:r>
      <w:r w:rsidR="006072A0" w:rsidRPr="0010679D">
        <w:rPr>
          <w:sz w:val="26"/>
          <w:szCs w:val="26"/>
        </w:rPr>
        <w:t>eiller à une évaluation efficace des risques découlant du portefeuille constitué des différents dossiers de crédit et d’engagement</w:t>
      </w:r>
      <w:r w:rsidR="00B55926">
        <w:rPr>
          <w:sz w:val="26"/>
          <w:szCs w:val="26"/>
        </w:rPr>
        <w:t>s</w:t>
      </w:r>
      <w:r w:rsidR="006072A0" w:rsidRPr="0010679D">
        <w:rPr>
          <w:sz w:val="26"/>
          <w:szCs w:val="26"/>
        </w:rPr>
        <w:t xml:space="preserve"> à partir des règles d’orthodoxie d’octroi de crédit. </w:t>
      </w:r>
    </w:p>
    <w:p w:rsidR="006072A0" w:rsidRPr="0010679D" w:rsidRDefault="006072A0" w:rsidP="00DB6339">
      <w:pPr>
        <w:spacing w:line="360" w:lineRule="auto"/>
        <w:jc w:val="both"/>
        <w:rPr>
          <w:sz w:val="26"/>
          <w:szCs w:val="26"/>
        </w:rPr>
      </w:pPr>
    </w:p>
    <w:p w:rsidR="006072A0" w:rsidRPr="0060121D" w:rsidRDefault="006072A0" w:rsidP="00287542">
      <w:pPr>
        <w:pStyle w:val="Titre2"/>
        <w:rPr>
          <w:b/>
          <w:color w:val="auto"/>
        </w:rPr>
      </w:pPr>
      <w:bookmarkStart w:id="9" w:name="_Toc79511688"/>
      <w:r w:rsidRPr="0060121D">
        <w:rPr>
          <w:b/>
          <w:color w:val="auto"/>
        </w:rPr>
        <w:t>3.2. Méthodologie de la révision</w:t>
      </w:r>
      <w:bookmarkEnd w:id="9"/>
    </w:p>
    <w:p w:rsidR="0060121D" w:rsidRDefault="0060121D" w:rsidP="001271F4">
      <w:pPr>
        <w:spacing w:line="360" w:lineRule="auto"/>
        <w:jc w:val="both"/>
        <w:rPr>
          <w:sz w:val="26"/>
          <w:szCs w:val="26"/>
        </w:rPr>
      </w:pPr>
    </w:p>
    <w:p w:rsidR="00337B41" w:rsidRDefault="00FB731F" w:rsidP="0045092A">
      <w:pPr>
        <w:spacing w:line="360" w:lineRule="auto"/>
        <w:jc w:val="both"/>
        <w:rPr>
          <w:sz w:val="26"/>
          <w:szCs w:val="26"/>
        </w:rPr>
      </w:pPr>
      <w:r w:rsidRPr="0010679D">
        <w:rPr>
          <w:sz w:val="26"/>
          <w:szCs w:val="26"/>
        </w:rPr>
        <w:t xml:space="preserve">Les outils de vérification </w:t>
      </w:r>
      <w:r w:rsidR="006072A0" w:rsidRPr="0010679D">
        <w:rPr>
          <w:sz w:val="26"/>
          <w:szCs w:val="26"/>
        </w:rPr>
        <w:t>portent respectivement sur le</w:t>
      </w:r>
      <w:r w:rsidR="001271F4" w:rsidRPr="0010679D">
        <w:rPr>
          <w:sz w:val="26"/>
          <w:szCs w:val="26"/>
        </w:rPr>
        <w:t xml:space="preserve">s </w:t>
      </w:r>
      <w:r w:rsidR="006072A0" w:rsidRPr="0010679D">
        <w:rPr>
          <w:sz w:val="26"/>
          <w:szCs w:val="26"/>
        </w:rPr>
        <w:t xml:space="preserve">requêtes formulées sur le </w:t>
      </w:r>
      <w:r w:rsidR="001F0606" w:rsidRPr="0010679D">
        <w:rPr>
          <w:sz w:val="26"/>
          <w:szCs w:val="26"/>
        </w:rPr>
        <w:t>Système d’Information Bancaire Amplitude</w:t>
      </w:r>
      <w:r w:rsidR="00455A2C" w:rsidRPr="0010679D">
        <w:rPr>
          <w:color w:val="FF0000"/>
          <w:sz w:val="26"/>
          <w:szCs w:val="26"/>
        </w:rPr>
        <w:t xml:space="preserve"> </w:t>
      </w:r>
      <w:r w:rsidR="008A33C4">
        <w:rPr>
          <w:sz w:val="26"/>
          <w:szCs w:val="26"/>
        </w:rPr>
        <w:t>qui permettent</w:t>
      </w:r>
      <w:r w:rsidR="00455A2C" w:rsidRPr="0010679D">
        <w:rPr>
          <w:sz w:val="26"/>
          <w:szCs w:val="26"/>
        </w:rPr>
        <w:t xml:space="preserve"> </w:t>
      </w:r>
      <w:r w:rsidR="006072A0" w:rsidRPr="0010679D">
        <w:rPr>
          <w:sz w:val="26"/>
          <w:szCs w:val="26"/>
        </w:rPr>
        <w:t xml:space="preserve">d’obtenir des états de contrôle du </w:t>
      </w:r>
      <w:r w:rsidR="002A205B" w:rsidRPr="0010679D">
        <w:rPr>
          <w:sz w:val="26"/>
          <w:szCs w:val="26"/>
        </w:rPr>
        <w:t>portefeuille (</w:t>
      </w:r>
      <w:r w:rsidR="006072A0" w:rsidRPr="0010679D">
        <w:rPr>
          <w:sz w:val="26"/>
          <w:szCs w:val="26"/>
        </w:rPr>
        <w:t>état des</w:t>
      </w:r>
      <w:r w:rsidR="002A205B">
        <w:rPr>
          <w:sz w:val="26"/>
          <w:szCs w:val="26"/>
        </w:rPr>
        <w:t xml:space="preserve"> échéances</w:t>
      </w:r>
      <w:r w:rsidR="006072A0" w:rsidRPr="0010679D">
        <w:rPr>
          <w:sz w:val="26"/>
          <w:szCs w:val="26"/>
        </w:rPr>
        <w:t xml:space="preserve"> impayé</w:t>
      </w:r>
      <w:r w:rsidR="002A205B">
        <w:rPr>
          <w:sz w:val="26"/>
          <w:szCs w:val="26"/>
        </w:rPr>
        <w:t>e</w:t>
      </w:r>
      <w:r w:rsidR="006072A0" w:rsidRPr="0010679D">
        <w:rPr>
          <w:sz w:val="26"/>
          <w:szCs w:val="26"/>
        </w:rPr>
        <w:t>s, état des comptes débiteurs sans mouvement</w:t>
      </w:r>
      <w:r w:rsidR="002C0400" w:rsidRPr="0010679D">
        <w:rPr>
          <w:sz w:val="26"/>
          <w:szCs w:val="26"/>
        </w:rPr>
        <w:t>s</w:t>
      </w:r>
      <w:r w:rsidR="006072A0" w:rsidRPr="0010679D">
        <w:rPr>
          <w:sz w:val="26"/>
          <w:szCs w:val="26"/>
        </w:rPr>
        <w:t xml:space="preserve"> créditeurs </w:t>
      </w:r>
      <w:r w:rsidR="00F25AB1">
        <w:rPr>
          <w:sz w:val="26"/>
          <w:szCs w:val="26"/>
        </w:rPr>
        <w:t>et sans mouvement</w:t>
      </w:r>
      <w:r w:rsidR="002B2621">
        <w:rPr>
          <w:sz w:val="26"/>
          <w:szCs w:val="26"/>
        </w:rPr>
        <w:t>s</w:t>
      </w:r>
      <w:r w:rsidR="00F25AB1">
        <w:rPr>
          <w:sz w:val="26"/>
          <w:szCs w:val="26"/>
        </w:rPr>
        <w:t xml:space="preserve"> significatif</w:t>
      </w:r>
      <w:r w:rsidR="002B2621">
        <w:rPr>
          <w:sz w:val="26"/>
          <w:szCs w:val="26"/>
        </w:rPr>
        <w:t>s</w:t>
      </w:r>
      <w:r w:rsidR="00F25AB1">
        <w:rPr>
          <w:sz w:val="26"/>
          <w:szCs w:val="26"/>
        </w:rPr>
        <w:t xml:space="preserve"> </w:t>
      </w:r>
      <w:r w:rsidR="006072A0" w:rsidRPr="0010679D">
        <w:rPr>
          <w:sz w:val="26"/>
          <w:szCs w:val="26"/>
        </w:rPr>
        <w:t xml:space="preserve">depuis </w:t>
      </w:r>
      <w:r w:rsidR="008467CC" w:rsidRPr="0010679D">
        <w:rPr>
          <w:sz w:val="26"/>
          <w:szCs w:val="26"/>
        </w:rPr>
        <w:t xml:space="preserve">3 et </w:t>
      </w:r>
      <w:r w:rsidR="006072A0" w:rsidRPr="0010679D">
        <w:rPr>
          <w:sz w:val="26"/>
          <w:szCs w:val="26"/>
        </w:rPr>
        <w:t>6 mois</w:t>
      </w:r>
      <w:r w:rsidR="00982FCF" w:rsidRPr="0010679D">
        <w:rPr>
          <w:sz w:val="26"/>
          <w:szCs w:val="26"/>
        </w:rPr>
        <w:t xml:space="preserve">, </w:t>
      </w:r>
      <w:r w:rsidR="00142BBA" w:rsidRPr="0010679D">
        <w:rPr>
          <w:sz w:val="26"/>
          <w:szCs w:val="26"/>
        </w:rPr>
        <w:t xml:space="preserve">état des dépassements, </w:t>
      </w:r>
      <w:r w:rsidR="00B959D4" w:rsidRPr="0010679D">
        <w:rPr>
          <w:sz w:val="26"/>
          <w:szCs w:val="26"/>
        </w:rPr>
        <w:t xml:space="preserve">état des créances restructurées, </w:t>
      </w:r>
      <w:r w:rsidR="00982FCF" w:rsidRPr="0010679D">
        <w:rPr>
          <w:sz w:val="26"/>
          <w:szCs w:val="26"/>
        </w:rPr>
        <w:t>état des CDL</w:t>
      </w:r>
      <w:r w:rsidR="00E5492E" w:rsidRPr="0010679D">
        <w:rPr>
          <w:sz w:val="26"/>
          <w:szCs w:val="26"/>
        </w:rPr>
        <w:t>)</w:t>
      </w:r>
      <w:r w:rsidR="008A33C4">
        <w:rPr>
          <w:sz w:val="26"/>
          <w:szCs w:val="26"/>
        </w:rPr>
        <w:t xml:space="preserve">. </w:t>
      </w:r>
    </w:p>
    <w:p w:rsidR="00C072A4" w:rsidRDefault="008A33C4" w:rsidP="0045092A">
      <w:pPr>
        <w:spacing w:line="360" w:lineRule="auto"/>
        <w:jc w:val="both"/>
        <w:rPr>
          <w:sz w:val="26"/>
          <w:szCs w:val="26"/>
        </w:rPr>
      </w:pPr>
      <w:r>
        <w:rPr>
          <w:sz w:val="26"/>
          <w:szCs w:val="26"/>
        </w:rPr>
        <w:t>A ces états de pilotage s’ajoutent</w:t>
      </w:r>
      <w:r w:rsidR="006072A0" w:rsidRPr="0010679D">
        <w:rPr>
          <w:sz w:val="26"/>
          <w:szCs w:val="26"/>
        </w:rPr>
        <w:t xml:space="preserve"> </w:t>
      </w:r>
      <w:r>
        <w:rPr>
          <w:sz w:val="26"/>
          <w:szCs w:val="26"/>
        </w:rPr>
        <w:t>l</w:t>
      </w:r>
      <w:r w:rsidR="006072A0" w:rsidRPr="0010679D">
        <w:rPr>
          <w:sz w:val="26"/>
          <w:szCs w:val="26"/>
        </w:rPr>
        <w:t xml:space="preserve">es </w:t>
      </w:r>
      <w:r>
        <w:rPr>
          <w:sz w:val="26"/>
          <w:szCs w:val="26"/>
        </w:rPr>
        <w:t>états financier</w:t>
      </w:r>
      <w:r w:rsidR="006072A0" w:rsidRPr="0010679D">
        <w:rPr>
          <w:sz w:val="26"/>
          <w:szCs w:val="26"/>
        </w:rPr>
        <w:t>s</w:t>
      </w:r>
      <w:r>
        <w:rPr>
          <w:sz w:val="26"/>
          <w:szCs w:val="26"/>
        </w:rPr>
        <w:t>, l</w:t>
      </w:r>
      <w:r w:rsidR="006072A0" w:rsidRPr="0010679D">
        <w:rPr>
          <w:sz w:val="26"/>
          <w:szCs w:val="26"/>
        </w:rPr>
        <w:t>es renseignements commerciaux</w:t>
      </w:r>
      <w:r w:rsidR="00512C7C" w:rsidRPr="0010679D">
        <w:rPr>
          <w:sz w:val="26"/>
          <w:szCs w:val="26"/>
        </w:rPr>
        <w:t>,</w:t>
      </w:r>
      <w:r w:rsidR="006072A0" w:rsidRPr="0010679D">
        <w:rPr>
          <w:sz w:val="26"/>
          <w:szCs w:val="26"/>
        </w:rPr>
        <w:t xml:space="preserve"> </w:t>
      </w:r>
      <w:r>
        <w:rPr>
          <w:sz w:val="26"/>
          <w:szCs w:val="26"/>
        </w:rPr>
        <w:t>etc. qui permettent d’apprécier la qualité de signature des clients</w:t>
      </w:r>
      <w:r w:rsidR="006072A0" w:rsidRPr="0010679D">
        <w:rPr>
          <w:sz w:val="26"/>
          <w:szCs w:val="26"/>
        </w:rPr>
        <w:t xml:space="preserve">. </w:t>
      </w:r>
    </w:p>
    <w:p w:rsidR="009D06E0" w:rsidRDefault="009D06E0" w:rsidP="0045092A">
      <w:pPr>
        <w:spacing w:line="360" w:lineRule="auto"/>
        <w:jc w:val="both"/>
        <w:rPr>
          <w:sz w:val="26"/>
          <w:szCs w:val="26"/>
        </w:rPr>
      </w:pPr>
    </w:p>
    <w:p w:rsidR="006072A0" w:rsidRPr="0060121D" w:rsidRDefault="006072A0" w:rsidP="00287542">
      <w:pPr>
        <w:pStyle w:val="Titre2"/>
        <w:rPr>
          <w:b/>
          <w:color w:val="auto"/>
        </w:rPr>
      </w:pPr>
      <w:bookmarkStart w:id="10" w:name="_Toc79511689"/>
      <w:r w:rsidRPr="0060121D">
        <w:rPr>
          <w:b/>
          <w:color w:val="auto"/>
        </w:rPr>
        <w:t>3.3. Etendue de la révision</w:t>
      </w:r>
      <w:bookmarkEnd w:id="10"/>
    </w:p>
    <w:p w:rsidR="0060121D" w:rsidRDefault="0060121D" w:rsidP="00D028CE">
      <w:pPr>
        <w:spacing w:line="360" w:lineRule="auto"/>
        <w:jc w:val="both"/>
        <w:rPr>
          <w:sz w:val="26"/>
          <w:szCs w:val="26"/>
        </w:rPr>
      </w:pPr>
    </w:p>
    <w:p w:rsidR="006072A0" w:rsidRPr="0010679D" w:rsidRDefault="006072A0" w:rsidP="00D028CE">
      <w:pPr>
        <w:spacing w:line="360" w:lineRule="auto"/>
        <w:jc w:val="both"/>
        <w:rPr>
          <w:sz w:val="26"/>
          <w:szCs w:val="26"/>
        </w:rPr>
      </w:pPr>
      <w:r w:rsidRPr="0010679D">
        <w:rPr>
          <w:sz w:val="26"/>
          <w:szCs w:val="26"/>
        </w:rPr>
        <w:t xml:space="preserve">La révision a porté sur l’ensemble des </w:t>
      </w:r>
      <w:r w:rsidR="00142BBA" w:rsidRPr="0010679D">
        <w:rPr>
          <w:sz w:val="26"/>
          <w:szCs w:val="26"/>
        </w:rPr>
        <w:t>états de contrôle du</w:t>
      </w:r>
      <w:r w:rsidRPr="0010679D">
        <w:rPr>
          <w:sz w:val="26"/>
          <w:szCs w:val="26"/>
        </w:rPr>
        <w:t xml:space="preserve"> portefeuille d</w:t>
      </w:r>
      <w:r w:rsidR="008467CC" w:rsidRPr="0010679D">
        <w:rPr>
          <w:sz w:val="26"/>
          <w:szCs w:val="26"/>
        </w:rPr>
        <w:t xml:space="preserve">es </w:t>
      </w:r>
      <w:r w:rsidRPr="0010679D">
        <w:rPr>
          <w:sz w:val="26"/>
          <w:szCs w:val="26"/>
        </w:rPr>
        <w:t>engagement</w:t>
      </w:r>
      <w:r w:rsidR="008467CC" w:rsidRPr="0010679D">
        <w:rPr>
          <w:sz w:val="26"/>
          <w:szCs w:val="26"/>
        </w:rPr>
        <w:t>s</w:t>
      </w:r>
      <w:r w:rsidR="00455A2C" w:rsidRPr="0010679D">
        <w:rPr>
          <w:sz w:val="26"/>
          <w:szCs w:val="26"/>
        </w:rPr>
        <w:t xml:space="preserve"> </w:t>
      </w:r>
      <w:r w:rsidRPr="0010679D">
        <w:rPr>
          <w:sz w:val="26"/>
          <w:szCs w:val="26"/>
        </w:rPr>
        <w:t>de</w:t>
      </w:r>
      <w:r w:rsidR="00FF390D">
        <w:rPr>
          <w:sz w:val="26"/>
          <w:szCs w:val="26"/>
        </w:rPr>
        <w:t xml:space="preserve">s </w:t>
      </w:r>
      <w:r w:rsidR="00FF390D" w:rsidRPr="009679C3">
        <w:rPr>
          <w:sz w:val="26"/>
          <w:szCs w:val="26"/>
        </w:rPr>
        <w:t>filiales bancaires</w:t>
      </w:r>
      <w:r w:rsidRPr="0010679D">
        <w:rPr>
          <w:sz w:val="26"/>
          <w:szCs w:val="26"/>
        </w:rPr>
        <w:t xml:space="preserve"> </w:t>
      </w:r>
      <w:r w:rsidR="00FF390D">
        <w:rPr>
          <w:sz w:val="26"/>
          <w:szCs w:val="26"/>
        </w:rPr>
        <w:t xml:space="preserve">de </w:t>
      </w:r>
      <w:r w:rsidR="00B55926">
        <w:rPr>
          <w:sz w:val="26"/>
          <w:szCs w:val="26"/>
        </w:rPr>
        <w:t>Coris Holding</w:t>
      </w:r>
      <w:r w:rsidRPr="0010679D">
        <w:rPr>
          <w:sz w:val="26"/>
          <w:szCs w:val="26"/>
        </w:rPr>
        <w:t xml:space="preserve"> au </w:t>
      </w:r>
      <w:r w:rsidR="005D09BA">
        <w:rPr>
          <w:sz w:val="26"/>
          <w:szCs w:val="26"/>
        </w:rPr>
        <w:t>30</w:t>
      </w:r>
      <w:r w:rsidR="002B2621">
        <w:rPr>
          <w:sz w:val="26"/>
          <w:szCs w:val="26"/>
        </w:rPr>
        <w:t xml:space="preserve"> </w:t>
      </w:r>
      <w:r w:rsidR="005D09BA">
        <w:rPr>
          <w:sz w:val="26"/>
          <w:szCs w:val="26"/>
        </w:rPr>
        <w:t>juin 2021</w:t>
      </w:r>
      <w:r w:rsidRPr="0010679D">
        <w:rPr>
          <w:sz w:val="26"/>
          <w:szCs w:val="26"/>
        </w:rPr>
        <w:t>.</w:t>
      </w:r>
    </w:p>
    <w:p w:rsidR="00346495" w:rsidRPr="0010679D" w:rsidRDefault="00346495" w:rsidP="006072A0">
      <w:pPr>
        <w:spacing w:line="360" w:lineRule="auto"/>
        <w:jc w:val="both"/>
        <w:rPr>
          <w:sz w:val="26"/>
          <w:szCs w:val="26"/>
        </w:rPr>
      </w:pPr>
    </w:p>
    <w:p w:rsidR="006072A0" w:rsidRPr="0060121D" w:rsidRDefault="006072A0" w:rsidP="00287542">
      <w:pPr>
        <w:pStyle w:val="Titre2"/>
        <w:rPr>
          <w:b/>
          <w:color w:val="auto"/>
        </w:rPr>
      </w:pPr>
      <w:bookmarkStart w:id="11" w:name="_Toc79511690"/>
      <w:r w:rsidRPr="0060121D">
        <w:rPr>
          <w:b/>
          <w:color w:val="auto"/>
        </w:rPr>
        <w:t>3.4. Règles de déclassement et de provisionnement utilisées</w:t>
      </w:r>
      <w:bookmarkEnd w:id="11"/>
    </w:p>
    <w:p w:rsidR="0060121D" w:rsidRDefault="0060121D" w:rsidP="006072A0">
      <w:pPr>
        <w:spacing w:line="360" w:lineRule="auto"/>
        <w:jc w:val="both"/>
        <w:rPr>
          <w:sz w:val="26"/>
          <w:szCs w:val="26"/>
        </w:rPr>
      </w:pPr>
    </w:p>
    <w:p w:rsidR="006072A0" w:rsidRDefault="006072A0" w:rsidP="006072A0">
      <w:pPr>
        <w:spacing w:line="360" w:lineRule="auto"/>
        <w:jc w:val="both"/>
        <w:rPr>
          <w:sz w:val="26"/>
          <w:szCs w:val="26"/>
        </w:rPr>
      </w:pPr>
      <w:r w:rsidRPr="0010679D">
        <w:rPr>
          <w:sz w:val="26"/>
          <w:szCs w:val="26"/>
        </w:rPr>
        <w:t xml:space="preserve">Les règles de déclassement et de provisionnement </w:t>
      </w:r>
      <w:r w:rsidR="00EE1935" w:rsidRPr="00B55926">
        <w:rPr>
          <w:sz w:val="26"/>
          <w:szCs w:val="26"/>
        </w:rPr>
        <w:t>du Groupe Coris</w:t>
      </w:r>
      <w:r w:rsidRPr="0010679D">
        <w:rPr>
          <w:sz w:val="26"/>
          <w:szCs w:val="26"/>
        </w:rPr>
        <w:t xml:space="preserve"> s’inspirent de l’instruction </w:t>
      </w:r>
      <w:r w:rsidR="00307B2A" w:rsidRPr="0010679D">
        <w:rPr>
          <w:sz w:val="26"/>
          <w:szCs w:val="26"/>
        </w:rPr>
        <w:t>n°026-11-2016 relative à la comptabilisation et à l’évaluation des engagements en souffrance</w:t>
      </w:r>
      <w:r w:rsidRPr="0010679D">
        <w:rPr>
          <w:sz w:val="26"/>
          <w:szCs w:val="26"/>
        </w:rPr>
        <w:t xml:space="preserve">. Ainsi, les règles suivantes ont été observées selon la nature du risque : </w:t>
      </w:r>
    </w:p>
    <w:p w:rsidR="00FC07B3" w:rsidRPr="0010679D" w:rsidRDefault="00FC07B3" w:rsidP="006072A0">
      <w:pPr>
        <w:spacing w:line="360" w:lineRule="auto"/>
        <w:jc w:val="both"/>
        <w:rPr>
          <w:sz w:val="26"/>
          <w:szCs w:val="26"/>
        </w:rPr>
      </w:pPr>
    </w:p>
    <w:p w:rsidR="006072A0" w:rsidRPr="0010679D" w:rsidRDefault="006C108A" w:rsidP="00E17A78">
      <w:pPr>
        <w:numPr>
          <w:ilvl w:val="0"/>
          <w:numId w:val="6"/>
        </w:numPr>
        <w:tabs>
          <w:tab w:val="clear" w:pos="1440"/>
          <w:tab w:val="num" w:pos="851"/>
        </w:tabs>
        <w:spacing w:line="360" w:lineRule="auto"/>
        <w:ind w:left="851" w:hanging="284"/>
        <w:jc w:val="both"/>
        <w:rPr>
          <w:sz w:val="26"/>
          <w:szCs w:val="26"/>
        </w:rPr>
      </w:pPr>
      <w:r>
        <w:rPr>
          <w:sz w:val="26"/>
          <w:szCs w:val="26"/>
        </w:rPr>
        <w:t>l</w:t>
      </w:r>
      <w:r w:rsidR="006072A0" w:rsidRPr="0010679D">
        <w:rPr>
          <w:sz w:val="26"/>
          <w:szCs w:val="26"/>
        </w:rPr>
        <w:t xml:space="preserve">es créances en souffrance garanties par des hypothèques </w:t>
      </w:r>
      <w:r>
        <w:rPr>
          <w:sz w:val="26"/>
          <w:szCs w:val="26"/>
        </w:rPr>
        <w:t xml:space="preserve">éligibles </w:t>
      </w:r>
      <w:r w:rsidR="006072A0" w:rsidRPr="0010679D">
        <w:rPr>
          <w:sz w:val="26"/>
          <w:szCs w:val="26"/>
        </w:rPr>
        <w:t xml:space="preserve">n’ont pas été </w:t>
      </w:r>
      <w:r w:rsidR="008467CC" w:rsidRPr="0010679D">
        <w:rPr>
          <w:sz w:val="26"/>
          <w:szCs w:val="26"/>
        </w:rPr>
        <w:t xml:space="preserve">entièrement </w:t>
      </w:r>
      <w:r w:rsidR="006072A0" w:rsidRPr="0010679D">
        <w:rPr>
          <w:sz w:val="26"/>
          <w:szCs w:val="26"/>
        </w:rPr>
        <w:t>provisionnées ;</w:t>
      </w:r>
    </w:p>
    <w:p w:rsidR="003F118B" w:rsidRPr="0010679D" w:rsidRDefault="006C108A" w:rsidP="00E17A78">
      <w:pPr>
        <w:numPr>
          <w:ilvl w:val="0"/>
          <w:numId w:val="6"/>
        </w:numPr>
        <w:tabs>
          <w:tab w:val="clear" w:pos="1440"/>
          <w:tab w:val="num" w:pos="851"/>
        </w:tabs>
        <w:spacing w:line="360" w:lineRule="auto"/>
        <w:ind w:left="851" w:hanging="284"/>
        <w:jc w:val="both"/>
        <w:rPr>
          <w:sz w:val="26"/>
          <w:szCs w:val="26"/>
        </w:rPr>
      </w:pPr>
      <w:r>
        <w:rPr>
          <w:sz w:val="26"/>
          <w:szCs w:val="26"/>
        </w:rPr>
        <w:t>l</w:t>
      </w:r>
      <w:r w:rsidR="006072A0" w:rsidRPr="0010679D">
        <w:rPr>
          <w:sz w:val="26"/>
          <w:szCs w:val="26"/>
        </w:rPr>
        <w:t xml:space="preserve">es créances </w:t>
      </w:r>
      <w:r w:rsidR="009E0E27" w:rsidRPr="0010679D">
        <w:rPr>
          <w:sz w:val="26"/>
          <w:szCs w:val="26"/>
        </w:rPr>
        <w:t>douteuses et litigieuses</w:t>
      </w:r>
      <w:r w:rsidR="006072A0" w:rsidRPr="0010679D">
        <w:rPr>
          <w:sz w:val="26"/>
          <w:szCs w:val="26"/>
        </w:rPr>
        <w:t xml:space="preserve"> garanties par des personnes morales ou </w:t>
      </w:r>
      <w:r w:rsidR="003F118B" w:rsidRPr="0010679D">
        <w:rPr>
          <w:sz w:val="26"/>
          <w:szCs w:val="26"/>
        </w:rPr>
        <w:t xml:space="preserve">physiques ont été </w:t>
      </w:r>
      <w:r w:rsidR="00B8336C" w:rsidRPr="0010679D">
        <w:rPr>
          <w:sz w:val="26"/>
          <w:szCs w:val="26"/>
        </w:rPr>
        <w:t>provisionnées ;</w:t>
      </w:r>
    </w:p>
    <w:p w:rsidR="006072A0" w:rsidRPr="0010679D" w:rsidRDefault="006C108A" w:rsidP="00E17A78">
      <w:pPr>
        <w:numPr>
          <w:ilvl w:val="0"/>
          <w:numId w:val="6"/>
        </w:numPr>
        <w:tabs>
          <w:tab w:val="clear" w:pos="1440"/>
          <w:tab w:val="num" w:pos="851"/>
        </w:tabs>
        <w:spacing w:line="360" w:lineRule="auto"/>
        <w:ind w:left="851" w:hanging="306"/>
        <w:jc w:val="both"/>
        <w:rPr>
          <w:sz w:val="26"/>
          <w:szCs w:val="26"/>
        </w:rPr>
      </w:pPr>
      <w:r>
        <w:rPr>
          <w:sz w:val="26"/>
          <w:szCs w:val="26"/>
        </w:rPr>
        <w:t>l</w:t>
      </w:r>
      <w:r w:rsidR="006072A0" w:rsidRPr="0010679D">
        <w:rPr>
          <w:sz w:val="26"/>
          <w:szCs w:val="26"/>
        </w:rPr>
        <w:t xml:space="preserve">es créances </w:t>
      </w:r>
      <w:r w:rsidR="009E0E27" w:rsidRPr="0010679D">
        <w:rPr>
          <w:sz w:val="26"/>
          <w:szCs w:val="26"/>
        </w:rPr>
        <w:t xml:space="preserve">douteuses et litigieuses </w:t>
      </w:r>
      <w:r w:rsidR="006072A0" w:rsidRPr="0010679D">
        <w:rPr>
          <w:sz w:val="26"/>
          <w:szCs w:val="26"/>
        </w:rPr>
        <w:t xml:space="preserve">garanties par un acte de nantissement ont été </w:t>
      </w:r>
      <w:r w:rsidR="002A205B" w:rsidRPr="0010679D">
        <w:rPr>
          <w:sz w:val="26"/>
          <w:szCs w:val="26"/>
        </w:rPr>
        <w:t>provisionnées ;</w:t>
      </w:r>
    </w:p>
    <w:p w:rsidR="006072A0" w:rsidRPr="0010679D" w:rsidRDefault="006C108A" w:rsidP="00E17A78">
      <w:pPr>
        <w:numPr>
          <w:ilvl w:val="0"/>
          <w:numId w:val="6"/>
        </w:numPr>
        <w:tabs>
          <w:tab w:val="clear" w:pos="1440"/>
          <w:tab w:val="num" w:pos="851"/>
        </w:tabs>
        <w:spacing w:line="360" w:lineRule="auto"/>
        <w:ind w:left="851" w:hanging="284"/>
        <w:jc w:val="both"/>
        <w:rPr>
          <w:sz w:val="26"/>
          <w:szCs w:val="26"/>
        </w:rPr>
      </w:pPr>
      <w:r>
        <w:rPr>
          <w:sz w:val="26"/>
          <w:szCs w:val="26"/>
        </w:rPr>
        <w:t>l</w:t>
      </w:r>
      <w:r w:rsidR="006072A0" w:rsidRPr="0010679D">
        <w:rPr>
          <w:sz w:val="26"/>
          <w:szCs w:val="26"/>
        </w:rPr>
        <w:t xml:space="preserve">es créances en souffrance garanties par un acte de domiciliation de </w:t>
      </w:r>
      <w:r w:rsidR="002C6591" w:rsidRPr="0010679D">
        <w:rPr>
          <w:sz w:val="26"/>
          <w:szCs w:val="26"/>
        </w:rPr>
        <w:t>contrats</w:t>
      </w:r>
      <w:r w:rsidR="003F118B" w:rsidRPr="0010679D">
        <w:rPr>
          <w:sz w:val="26"/>
          <w:szCs w:val="26"/>
        </w:rPr>
        <w:t xml:space="preserve"> dans les livres de</w:t>
      </w:r>
      <w:r>
        <w:rPr>
          <w:sz w:val="26"/>
          <w:szCs w:val="26"/>
        </w:rPr>
        <w:t xml:space="preserve">s filiales </w:t>
      </w:r>
      <w:r w:rsidR="002A205B" w:rsidRPr="0010679D">
        <w:rPr>
          <w:sz w:val="26"/>
          <w:szCs w:val="26"/>
        </w:rPr>
        <w:t>ont été</w:t>
      </w:r>
      <w:r w:rsidR="006072A0" w:rsidRPr="0010679D">
        <w:rPr>
          <w:sz w:val="26"/>
          <w:szCs w:val="26"/>
        </w:rPr>
        <w:t xml:space="preserve"> </w:t>
      </w:r>
      <w:r w:rsidR="002A205B" w:rsidRPr="0010679D">
        <w:rPr>
          <w:sz w:val="26"/>
          <w:szCs w:val="26"/>
        </w:rPr>
        <w:t>provisionnées ;</w:t>
      </w:r>
    </w:p>
    <w:p w:rsidR="006072A0" w:rsidRPr="0010679D" w:rsidRDefault="006C108A" w:rsidP="00E17A78">
      <w:pPr>
        <w:numPr>
          <w:ilvl w:val="0"/>
          <w:numId w:val="6"/>
        </w:numPr>
        <w:tabs>
          <w:tab w:val="clear" w:pos="1440"/>
          <w:tab w:val="num" w:pos="851"/>
        </w:tabs>
        <w:spacing w:line="360" w:lineRule="auto"/>
        <w:ind w:left="851" w:hanging="284"/>
        <w:jc w:val="both"/>
        <w:rPr>
          <w:sz w:val="26"/>
          <w:szCs w:val="26"/>
        </w:rPr>
      </w:pPr>
      <w:r>
        <w:rPr>
          <w:sz w:val="26"/>
          <w:szCs w:val="26"/>
        </w:rPr>
        <w:t>l</w:t>
      </w:r>
      <w:r w:rsidR="006072A0" w:rsidRPr="0010679D">
        <w:rPr>
          <w:sz w:val="26"/>
          <w:szCs w:val="26"/>
        </w:rPr>
        <w:t xml:space="preserve">es comptes débiteurs sans mouvements créditeurs depuis plus de 6 mois ont été </w:t>
      </w:r>
      <w:r w:rsidR="00142BBA" w:rsidRPr="0010679D">
        <w:rPr>
          <w:sz w:val="26"/>
          <w:szCs w:val="26"/>
        </w:rPr>
        <w:t xml:space="preserve">déclassés et </w:t>
      </w:r>
      <w:r w:rsidR="006072A0" w:rsidRPr="0010679D">
        <w:rPr>
          <w:sz w:val="26"/>
          <w:szCs w:val="26"/>
        </w:rPr>
        <w:t>provisionnés</w:t>
      </w:r>
      <w:r w:rsidR="00FC07B3">
        <w:rPr>
          <w:sz w:val="26"/>
          <w:szCs w:val="26"/>
        </w:rPr>
        <w:t xml:space="preserve"> </w:t>
      </w:r>
      <w:r w:rsidR="00B8336C" w:rsidRPr="0010679D">
        <w:rPr>
          <w:bCs/>
          <w:sz w:val="26"/>
          <w:szCs w:val="26"/>
        </w:rPr>
        <w:t>;</w:t>
      </w:r>
    </w:p>
    <w:p w:rsidR="00B44E8A" w:rsidRPr="00693AD4" w:rsidRDefault="006C108A" w:rsidP="00E17A78">
      <w:pPr>
        <w:numPr>
          <w:ilvl w:val="0"/>
          <w:numId w:val="6"/>
        </w:numPr>
        <w:tabs>
          <w:tab w:val="clear" w:pos="1440"/>
          <w:tab w:val="num" w:pos="851"/>
        </w:tabs>
        <w:spacing w:line="360" w:lineRule="auto"/>
        <w:ind w:left="851" w:hanging="284"/>
        <w:jc w:val="both"/>
        <w:rPr>
          <w:sz w:val="26"/>
          <w:szCs w:val="26"/>
        </w:rPr>
      </w:pPr>
      <w:r>
        <w:rPr>
          <w:sz w:val="26"/>
          <w:szCs w:val="26"/>
        </w:rPr>
        <w:t>l</w:t>
      </w:r>
      <w:r w:rsidR="00B44E8A" w:rsidRPr="0010679D">
        <w:rPr>
          <w:sz w:val="26"/>
          <w:szCs w:val="26"/>
        </w:rPr>
        <w:t xml:space="preserve">es </w:t>
      </w:r>
      <w:r w:rsidR="00142BBA" w:rsidRPr="0010679D">
        <w:rPr>
          <w:sz w:val="26"/>
          <w:szCs w:val="26"/>
        </w:rPr>
        <w:t xml:space="preserve">créances </w:t>
      </w:r>
      <w:r w:rsidR="00056996" w:rsidRPr="0010679D">
        <w:rPr>
          <w:sz w:val="26"/>
          <w:szCs w:val="26"/>
        </w:rPr>
        <w:t>restructurées</w:t>
      </w:r>
      <w:r w:rsidR="00455A2C" w:rsidRPr="0010679D">
        <w:rPr>
          <w:sz w:val="26"/>
          <w:szCs w:val="26"/>
        </w:rPr>
        <w:t xml:space="preserve"> </w:t>
      </w:r>
      <w:r w:rsidR="0035654C" w:rsidRPr="0010679D">
        <w:rPr>
          <w:sz w:val="26"/>
          <w:szCs w:val="26"/>
        </w:rPr>
        <w:t xml:space="preserve">sont provisionnées au </w:t>
      </w:r>
      <w:r w:rsidR="0035654C" w:rsidRPr="00693AD4">
        <w:rPr>
          <w:sz w:val="26"/>
          <w:szCs w:val="26"/>
        </w:rPr>
        <w:t xml:space="preserve">minimum à </w:t>
      </w:r>
      <w:r w:rsidR="00EE1935" w:rsidRPr="00693AD4">
        <w:rPr>
          <w:sz w:val="26"/>
          <w:szCs w:val="26"/>
        </w:rPr>
        <w:t>2</w:t>
      </w:r>
      <w:r w:rsidR="00AD0615">
        <w:rPr>
          <w:sz w:val="26"/>
          <w:szCs w:val="26"/>
        </w:rPr>
        <w:t>0</w:t>
      </w:r>
      <w:r w:rsidR="000A3A0E" w:rsidRPr="00693AD4">
        <w:rPr>
          <w:sz w:val="26"/>
          <w:szCs w:val="26"/>
        </w:rPr>
        <w:t>%</w:t>
      </w:r>
      <w:r w:rsidR="008D2627" w:rsidRPr="00693AD4">
        <w:rPr>
          <w:sz w:val="26"/>
          <w:szCs w:val="26"/>
        </w:rPr>
        <w:t xml:space="preserve"> </w:t>
      </w:r>
      <w:r w:rsidR="00AD0615">
        <w:rPr>
          <w:sz w:val="26"/>
          <w:szCs w:val="26"/>
        </w:rPr>
        <w:t>à titre prudentiel</w:t>
      </w:r>
      <w:r w:rsidR="000A3A0E">
        <w:rPr>
          <w:sz w:val="26"/>
          <w:szCs w:val="26"/>
        </w:rPr>
        <w:t> ;</w:t>
      </w:r>
    </w:p>
    <w:p w:rsidR="00D97D94" w:rsidRDefault="00AD0615" w:rsidP="006B6834">
      <w:pPr>
        <w:numPr>
          <w:ilvl w:val="0"/>
          <w:numId w:val="6"/>
        </w:numPr>
        <w:tabs>
          <w:tab w:val="clear" w:pos="1440"/>
          <w:tab w:val="num" w:pos="851"/>
        </w:tabs>
        <w:spacing w:line="360" w:lineRule="auto"/>
        <w:ind w:left="851" w:hanging="284"/>
        <w:jc w:val="both"/>
        <w:rPr>
          <w:b/>
          <w:bCs/>
          <w:sz w:val="26"/>
          <w:szCs w:val="26"/>
        </w:rPr>
      </w:pPr>
      <w:r>
        <w:rPr>
          <w:sz w:val="26"/>
          <w:szCs w:val="26"/>
        </w:rPr>
        <w:t>l</w:t>
      </w:r>
      <w:r w:rsidR="00EC3A3E" w:rsidRPr="0010679D">
        <w:rPr>
          <w:sz w:val="26"/>
          <w:szCs w:val="26"/>
        </w:rPr>
        <w:t xml:space="preserve">es comptes débiteurs </w:t>
      </w:r>
      <w:r w:rsidR="003759C7" w:rsidRPr="0010679D">
        <w:rPr>
          <w:sz w:val="26"/>
          <w:szCs w:val="26"/>
        </w:rPr>
        <w:t xml:space="preserve">depuis plus de </w:t>
      </w:r>
      <w:r w:rsidR="00D028CE" w:rsidRPr="0010679D">
        <w:rPr>
          <w:sz w:val="26"/>
          <w:szCs w:val="26"/>
        </w:rPr>
        <w:t xml:space="preserve">3 mois </w:t>
      </w:r>
      <w:r w:rsidR="00982FCF" w:rsidRPr="0010679D">
        <w:rPr>
          <w:sz w:val="26"/>
          <w:szCs w:val="26"/>
        </w:rPr>
        <w:t xml:space="preserve">non </w:t>
      </w:r>
      <w:r>
        <w:rPr>
          <w:sz w:val="26"/>
          <w:szCs w:val="26"/>
        </w:rPr>
        <w:t>adossés à des entrées imminentes</w:t>
      </w:r>
      <w:r w:rsidR="003759C7" w:rsidRPr="0010679D">
        <w:rPr>
          <w:sz w:val="26"/>
          <w:szCs w:val="26"/>
        </w:rPr>
        <w:t xml:space="preserve"> ont été déclassés</w:t>
      </w:r>
      <w:r w:rsidR="00455A2C" w:rsidRPr="0010679D">
        <w:rPr>
          <w:sz w:val="26"/>
          <w:szCs w:val="26"/>
        </w:rPr>
        <w:t xml:space="preserve"> </w:t>
      </w:r>
      <w:r w:rsidR="003759C7" w:rsidRPr="0010679D">
        <w:rPr>
          <w:sz w:val="26"/>
          <w:szCs w:val="26"/>
        </w:rPr>
        <w:t xml:space="preserve">et </w:t>
      </w:r>
      <w:r w:rsidR="00D028CE" w:rsidRPr="0010679D">
        <w:rPr>
          <w:sz w:val="26"/>
          <w:szCs w:val="26"/>
        </w:rPr>
        <w:t>provisionnés</w:t>
      </w:r>
      <w:r w:rsidR="000B6550" w:rsidRPr="0010679D">
        <w:rPr>
          <w:sz w:val="26"/>
          <w:szCs w:val="26"/>
        </w:rPr>
        <w:t>.</w:t>
      </w:r>
      <w:r w:rsidR="00455A2C" w:rsidRPr="0010679D">
        <w:rPr>
          <w:sz w:val="26"/>
          <w:szCs w:val="26"/>
        </w:rPr>
        <w:t xml:space="preserve"> </w:t>
      </w:r>
      <w:r w:rsidR="000B6550" w:rsidRPr="0010679D">
        <w:rPr>
          <w:sz w:val="26"/>
          <w:szCs w:val="26"/>
        </w:rPr>
        <w:t>C</w:t>
      </w:r>
      <w:r w:rsidR="00D028CE" w:rsidRPr="0010679D">
        <w:rPr>
          <w:sz w:val="26"/>
          <w:szCs w:val="26"/>
        </w:rPr>
        <w:t>ertains</w:t>
      </w:r>
      <w:r w:rsidR="000B6550" w:rsidRPr="0010679D">
        <w:rPr>
          <w:sz w:val="26"/>
          <w:szCs w:val="26"/>
        </w:rPr>
        <w:t xml:space="preserve"> ont été</w:t>
      </w:r>
      <w:r w:rsidR="00D028CE" w:rsidRPr="0010679D">
        <w:rPr>
          <w:sz w:val="26"/>
          <w:szCs w:val="26"/>
        </w:rPr>
        <w:t xml:space="preserve"> passés en perte</w:t>
      </w:r>
      <w:r w:rsidR="0069476E" w:rsidRPr="0010679D">
        <w:rPr>
          <w:sz w:val="26"/>
          <w:szCs w:val="26"/>
        </w:rPr>
        <w:t xml:space="preserve"> en fonction </w:t>
      </w:r>
      <w:r w:rsidR="00513C84" w:rsidRPr="0010679D">
        <w:rPr>
          <w:sz w:val="26"/>
          <w:szCs w:val="26"/>
        </w:rPr>
        <w:t>d</w:t>
      </w:r>
      <w:r w:rsidR="0069476E" w:rsidRPr="0010679D">
        <w:rPr>
          <w:sz w:val="26"/>
          <w:szCs w:val="26"/>
        </w:rPr>
        <w:t xml:space="preserve">es </w:t>
      </w:r>
      <w:r w:rsidR="009F14E7">
        <w:rPr>
          <w:sz w:val="26"/>
          <w:szCs w:val="26"/>
        </w:rPr>
        <w:t xml:space="preserve">perspectives de recouvrement </w:t>
      </w:r>
      <w:r w:rsidR="00B8336C" w:rsidRPr="0010679D">
        <w:rPr>
          <w:b/>
          <w:bCs/>
          <w:sz w:val="26"/>
          <w:szCs w:val="26"/>
        </w:rPr>
        <w:t>;</w:t>
      </w:r>
    </w:p>
    <w:p w:rsidR="009A1D4C" w:rsidRPr="00A11F41" w:rsidRDefault="00AD0615" w:rsidP="009B49EE">
      <w:pPr>
        <w:numPr>
          <w:ilvl w:val="0"/>
          <w:numId w:val="6"/>
        </w:numPr>
        <w:tabs>
          <w:tab w:val="clear" w:pos="1440"/>
          <w:tab w:val="num" w:pos="851"/>
        </w:tabs>
        <w:spacing w:line="360" w:lineRule="auto"/>
        <w:ind w:left="851" w:hanging="284"/>
        <w:jc w:val="both"/>
        <w:rPr>
          <w:b/>
          <w:bCs/>
          <w:sz w:val="26"/>
          <w:szCs w:val="26"/>
        </w:rPr>
      </w:pPr>
      <w:r>
        <w:rPr>
          <w:bCs/>
          <w:sz w:val="26"/>
          <w:szCs w:val="26"/>
        </w:rPr>
        <w:t>l</w:t>
      </w:r>
      <w:r w:rsidR="00AE7C8F" w:rsidRPr="00D97D94">
        <w:rPr>
          <w:bCs/>
          <w:sz w:val="26"/>
          <w:szCs w:val="26"/>
        </w:rPr>
        <w:t xml:space="preserve">es </w:t>
      </w:r>
      <w:r w:rsidR="00014D81">
        <w:rPr>
          <w:bCs/>
          <w:sz w:val="26"/>
          <w:szCs w:val="26"/>
        </w:rPr>
        <w:t>créances</w:t>
      </w:r>
      <w:r w:rsidR="00014D81" w:rsidRPr="00D97D94">
        <w:rPr>
          <w:bCs/>
          <w:sz w:val="26"/>
          <w:szCs w:val="26"/>
        </w:rPr>
        <w:t xml:space="preserve"> </w:t>
      </w:r>
      <w:r w:rsidR="00AE7C8F" w:rsidRPr="00D97D94">
        <w:rPr>
          <w:bCs/>
          <w:sz w:val="26"/>
          <w:szCs w:val="26"/>
        </w:rPr>
        <w:t>restructuré</w:t>
      </w:r>
      <w:r w:rsidR="00014D81">
        <w:rPr>
          <w:bCs/>
          <w:sz w:val="26"/>
          <w:szCs w:val="26"/>
        </w:rPr>
        <w:t>e</w:t>
      </w:r>
      <w:r w:rsidR="00AE7C8F" w:rsidRPr="00D97D94">
        <w:rPr>
          <w:bCs/>
          <w:sz w:val="26"/>
          <w:szCs w:val="26"/>
        </w:rPr>
        <w:t>s dont les échéances ne sont pas respectées ont été déclassé</w:t>
      </w:r>
      <w:r w:rsidR="001F3037">
        <w:rPr>
          <w:bCs/>
          <w:sz w:val="26"/>
          <w:szCs w:val="26"/>
        </w:rPr>
        <w:t>e</w:t>
      </w:r>
      <w:r w:rsidR="00AE7C8F" w:rsidRPr="00D97D94">
        <w:rPr>
          <w:bCs/>
          <w:sz w:val="26"/>
          <w:szCs w:val="26"/>
        </w:rPr>
        <w:t>s en</w:t>
      </w:r>
      <w:r w:rsidR="00D90E80" w:rsidRPr="00D97D94">
        <w:rPr>
          <w:bCs/>
          <w:sz w:val="26"/>
          <w:szCs w:val="26"/>
        </w:rPr>
        <w:t xml:space="preserve"> douteux.</w:t>
      </w:r>
    </w:p>
    <w:p w:rsidR="00014D81" w:rsidRDefault="00014D81" w:rsidP="00A11F41">
      <w:pPr>
        <w:spacing w:line="360" w:lineRule="auto"/>
        <w:ind w:left="567"/>
        <w:jc w:val="both"/>
        <w:rPr>
          <w:b/>
          <w:bCs/>
          <w:sz w:val="26"/>
          <w:szCs w:val="26"/>
        </w:rPr>
      </w:pPr>
    </w:p>
    <w:p w:rsidR="006072A0" w:rsidRPr="00FD55F7" w:rsidRDefault="006072A0" w:rsidP="00FD55F7">
      <w:pPr>
        <w:pStyle w:val="Paragraphedeliste"/>
        <w:numPr>
          <w:ilvl w:val="0"/>
          <w:numId w:val="2"/>
        </w:numPr>
        <w:spacing w:line="360" w:lineRule="auto"/>
        <w:outlineLvl w:val="0"/>
        <w:rPr>
          <w:rFonts w:ascii="Times New Roman" w:hAnsi="Times New Roman" w:cs="Times New Roman"/>
          <w:b/>
          <w:sz w:val="26"/>
          <w:szCs w:val="26"/>
          <w:u w:val="single"/>
        </w:rPr>
      </w:pPr>
      <w:bookmarkStart w:id="12" w:name="_Toc79511691"/>
      <w:r w:rsidRPr="00FD55F7">
        <w:rPr>
          <w:rFonts w:ascii="Times New Roman" w:hAnsi="Times New Roman" w:cs="Times New Roman"/>
          <w:b/>
          <w:sz w:val="26"/>
          <w:szCs w:val="26"/>
          <w:u w:val="single"/>
        </w:rPr>
        <w:t>RESULTATS DE LA REVISION</w:t>
      </w:r>
      <w:r w:rsidR="00297B83" w:rsidRPr="00FD55F7">
        <w:rPr>
          <w:rFonts w:ascii="Times New Roman" w:hAnsi="Times New Roman" w:cs="Times New Roman"/>
          <w:b/>
          <w:sz w:val="26"/>
          <w:szCs w:val="26"/>
          <w:u w:val="single"/>
        </w:rPr>
        <w:t xml:space="preserve"> DU PORTEFEUILLE</w:t>
      </w:r>
      <w:bookmarkEnd w:id="12"/>
    </w:p>
    <w:p w:rsidR="004F46BA" w:rsidRDefault="004F46BA" w:rsidP="00FF538D">
      <w:pPr>
        <w:spacing w:line="360" w:lineRule="auto"/>
        <w:jc w:val="both"/>
        <w:rPr>
          <w:sz w:val="26"/>
          <w:szCs w:val="26"/>
        </w:rPr>
      </w:pPr>
    </w:p>
    <w:p w:rsidR="00FF538D" w:rsidRDefault="00487F8A" w:rsidP="00FF538D">
      <w:pPr>
        <w:spacing w:line="360" w:lineRule="auto"/>
        <w:jc w:val="both"/>
        <w:rPr>
          <w:sz w:val="26"/>
          <w:szCs w:val="26"/>
        </w:rPr>
      </w:pPr>
      <w:r w:rsidRPr="0010679D">
        <w:rPr>
          <w:sz w:val="26"/>
          <w:szCs w:val="26"/>
        </w:rPr>
        <w:t xml:space="preserve">Au </w:t>
      </w:r>
      <w:r w:rsidR="009F7DDF">
        <w:rPr>
          <w:sz w:val="26"/>
          <w:szCs w:val="26"/>
        </w:rPr>
        <w:t>30</w:t>
      </w:r>
      <w:r w:rsidR="001F3037">
        <w:rPr>
          <w:sz w:val="26"/>
          <w:szCs w:val="26"/>
        </w:rPr>
        <w:t xml:space="preserve"> </w:t>
      </w:r>
      <w:r w:rsidR="009F7DDF">
        <w:rPr>
          <w:sz w:val="26"/>
          <w:szCs w:val="26"/>
        </w:rPr>
        <w:t>juin 2021</w:t>
      </w:r>
      <w:r w:rsidR="00261548" w:rsidRPr="0010679D">
        <w:rPr>
          <w:sz w:val="26"/>
          <w:szCs w:val="26"/>
        </w:rPr>
        <w:t>, l</w:t>
      </w:r>
      <w:r w:rsidR="006072A0" w:rsidRPr="0010679D">
        <w:rPr>
          <w:sz w:val="26"/>
          <w:szCs w:val="26"/>
        </w:rPr>
        <w:t xml:space="preserve">a décomposition du portefeuille </w:t>
      </w:r>
      <w:r w:rsidR="00C352B9">
        <w:rPr>
          <w:sz w:val="26"/>
          <w:szCs w:val="26"/>
        </w:rPr>
        <w:t xml:space="preserve">du </w:t>
      </w:r>
      <w:r w:rsidR="00C352B9" w:rsidRPr="00005E16">
        <w:rPr>
          <w:sz w:val="26"/>
          <w:szCs w:val="26"/>
        </w:rPr>
        <w:t>Groupe Coris</w:t>
      </w:r>
      <w:r w:rsidR="005F38F5">
        <w:rPr>
          <w:sz w:val="26"/>
          <w:szCs w:val="26"/>
        </w:rPr>
        <w:t xml:space="preserve"> </w:t>
      </w:r>
      <w:r w:rsidR="006072A0" w:rsidRPr="0010679D">
        <w:rPr>
          <w:sz w:val="26"/>
          <w:szCs w:val="26"/>
        </w:rPr>
        <w:t xml:space="preserve">se présente </w:t>
      </w:r>
      <w:r w:rsidR="00FF538D" w:rsidRPr="0010679D">
        <w:rPr>
          <w:sz w:val="26"/>
          <w:szCs w:val="26"/>
        </w:rPr>
        <w:t>comme suit en F CFA :</w:t>
      </w:r>
    </w:p>
    <w:p w:rsidR="004F46BA" w:rsidRPr="0010679D" w:rsidRDefault="004F46BA" w:rsidP="00FF538D">
      <w:pPr>
        <w:spacing w:line="360" w:lineRule="auto"/>
        <w:jc w:val="both"/>
        <w:rPr>
          <w:sz w:val="26"/>
          <w:szCs w:val="26"/>
        </w:rPr>
      </w:pPr>
    </w:p>
    <w:p w:rsidR="00915A5E" w:rsidRPr="00E902DD" w:rsidRDefault="00EC1F98" w:rsidP="00E902DD">
      <w:pPr>
        <w:spacing w:line="360" w:lineRule="auto"/>
        <w:jc w:val="both"/>
        <w:rPr>
          <w:sz w:val="26"/>
          <w:szCs w:val="26"/>
        </w:rPr>
      </w:pPr>
      <w:r w:rsidRPr="00EC1F98">
        <w:rPr>
          <w:noProof/>
        </w:rPr>
        <w:drawing>
          <wp:inline distT="0" distB="0" distL="0" distR="0" wp14:anchorId="5B99F5C5" wp14:editId="6E466C29">
            <wp:extent cx="6305910" cy="311141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478" cy="3117618"/>
                    </a:xfrm>
                    <a:prstGeom prst="rect">
                      <a:avLst/>
                    </a:prstGeom>
                    <a:noFill/>
                    <a:ln>
                      <a:noFill/>
                    </a:ln>
                  </pic:spPr>
                </pic:pic>
              </a:graphicData>
            </a:graphic>
          </wp:inline>
        </w:drawing>
      </w:r>
    </w:p>
    <w:p w:rsidR="00BF11F3" w:rsidRDefault="00BF11F3" w:rsidP="00C85AF5">
      <w:pPr>
        <w:spacing w:line="360" w:lineRule="auto"/>
        <w:jc w:val="both"/>
        <w:rPr>
          <w:sz w:val="28"/>
          <w:szCs w:val="28"/>
        </w:rPr>
      </w:pPr>
    </w:p>
    <w:p w:rsidR="004F46BA" w:rsidRDefault="004F46BA" w:rsidP="00C85AF5">
      <w:pPr>
        <w:spacing w:line="360" w:lineRule="auto"/>
        <w:jc w:val="both"/>
        <w:rPr>
          <w:sz w:val="28"/>
          <w:szCs w:val="28"/>
        </w:rPr>
      </w:pPr>
    </w:p>
    <w:p w:rsidR="004F46BA" w:rsidRDefault="004F46BA" w:rsidP="00C85AF5">
      <w:pPr>
        <w:spacing w:line="360" w:lineRule="auto"/>
        <w:jc w:val="both"/>
        <w:rPr>
          <w:sz w:val="28"/>
          <w:szCs w:val="28"/>
        </w:rPr>
      </w:pPr>
    </w:p>
    <w:p w:rsidR="00995DA7" w:rsidRPr="008B7571" w:rsidRDefault="00EB2F71" w:rsidP="00C85AF5">
      <w:pPr>
        <w:spacing w:line="360" w:lineRule="auto"/>
        <w:jc w:val="both"/>
        <w:rPr>
          <w:sz w:val="28"/>
          <w:szCs w:val="28"/>
        </w:rPr>
      </w:pPr>
      <w:r>
        <w:rPr>
          <w:noProof/>
          <w:sz w:val="28"/>
          <w:szCs w:val="28"/>
        </w:rPr>
        <mc:AlternateContent>
          <mc:Choice Requires="wps">
            <w:drawing>
              <wp:anchor distT="0" distB="0" distL="114300" distR="114300" simplePos="0" relativeHeight="251681792" behindDoc="0" locked="0" layoutInCell="1" allowOverlap="1" wp14:anchorId="150A1E2A" wp14:editId="07B7ADBE">
                <wp:simplePos x="0" y="0"/>
                <wp:positionH relativeFrom="column">
                  <wp:posOffset>-660</wp:posOffset>
                </wp:positionH>
                <wp:positionV relativeFrom="paragraph">
                  <wp:posOffset>25883</wp:posOffset>
                </wp:positionV>
                <wp:extent cx="5720486" cy="295275"/>
                <wp:effectExtent l="0" t="0" r="1397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486" cy="295275"/>
                        </a:xfrm>
                        <a:prstGeom prst="rect">
                          <a:avLst/>
                        </a:prstGeom>
                        <a:solidFill>
                          <a:schemeClr val="bg1">
                            <a:lumMod val="85000"/>
                            <a:lumOff val="0"/>
                          </a:schemeClr>
                        </a:solidFill>
                        <a:ln w="9525">
                          <a:solidFill>
                            <a:srgbClr val="000000"/>
                          </a:solidFill>
                          <a:miter lim="800000"/>
                          <a:headEnd/>
                          <a:tailEnd/>
                        </a:ln>
                      </wps:spPr>
                      <wps:txbx>
                        <w:txbxContent>
                          <w:p w:rsidR="000E0E5F" w:rsidRPr="0010679D" w:rsidRDefault="000E0E5F" w:rsidP="005821C7">
                            <w:pPr>
                              <w:jc w:val="center"/>
                              <w:rPr>
                                <w:b/>
                                <w:sz w:val="26"/>
                                <w:szCs w:val="26"/>
                              </w:rPr>
                            </w:pPr>
                            <w:r>
                              <w:rPr>
                                <w:b/>
                                <w:sz w:val="26"/>
                                <w:szCs w:val="26"/>
                              </w:rPr>
                              <w:t>ANALYSE DU PORTEFEUILLE CREDIT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0A1E2A" id="_x0000_t202" coordsize="21600,21600" o:spt="202" path="m,l,21600r21600,l21600,xe">
                <v:stroke joinstyle="miter"/>
                <v:path gradientshapeok="t" o:connecttype="rect"/>
              </v:shapetype>
              <v:shape id="Text Box 2" o:spid="_x0000_s1026" type="#_x0000_t202" style="position:absolute;left:0;text-align:left;margin-left:-.05pt;margin-top:2.05pt;width:450.4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" fillcolor="#d8d8d8 [2732]">
                <v:textbox>
                  <w:txbxContent>
                    <w:p w:rsidR="000E0E5F" w:rsidRPr="0010679D" w:rsidRDefault="000E0E5F" w:rsidP="005821C7">
                      <w:pPr>
                        <w:jc w:val="center"/>
                        <w:rPr>
                          <w:b/>
                          <w:sz w:val="26"/>
                          <w:szCs w:val="26"/>
                        </w:rPr>
                      </w:pPr>
                      <w:r>
                        <w:rPr>
                          <w:b/>
                          <w:sz w:val="26"/>
                          <w:szCs w:val="26"/>
                        </w:rPr>
                        <w:t>ANALYSE DU PORTEFEUILLE CREDIT</w:t>
                      </w:r>
                    </w:p>
                  </w:txbxContent>
                </v:textbox>
              </v:shape>
            </w:pict>
          </mc:Fallback>
        </mc:AlternateContent>
      </w:r>
    </w:p>
    <w:p w:rsidR="009E0134" w:rsidRDefault="009E0134" w:rsidP="009F14E7">
      <w:pPr>
        <w:pStyle w:val="Retraitcorpsdetexte2"/>
        <w:spacing w:after="0" w:line="360" w:lineRule="auto"/>
        <w:ind w:left="0"/>
        <w:jc w:val="both"/>
        <w:rPr>
          <w:color w:val="000000"/>
          <w:sz w:val="26"/>
          <w:szCs w:val="26"/>
        </w:rPr>
      </w:pPr>
    </w:p>
    <w:p w:rsidR="009F14E7" w:rsidRPr="00963E08" w:rsidRDefault="009F14E7" w:rsidP="009F14E7">
      <w:pPr>
        <w:pStyle w:val="Retraitcorpsdetexte2"/>
        <w:spacing w:after="0" w:line="360" w:lineRule="auto"/>
        <w:ind w:left="0"/>
        <w:jc w:val="both"/>
        <w:rPr>
          <w:color w:val="000000"/>
          <w:sz w:val="26"/>
          <w:szCs w:val="26"/>
        </w:rPr>
      </w:pPr>
      <w:r w:rsidRPr="0010679D">
        <w:rPr>
          <w:color w:val="000000"/>
          <w:sz w:val="26"/>
          <w:szCs w:val="26"/>
        </w:rPr>
        <w:t xml:space="preserve">A l’issue de la révision globale du portefeuille au </w:t>
      </w:r>
      <w:r w:rsidR="00694D23">
        <w:rPr>
          <w:color w:val="000000"/>
          <w:sz w:val="26"/>
          <w:szCs w:val="26"/>
        </w:rPr>
        <w:t>premier</w:t>
      </w:r>
      <w:r w:rsidRPr="0010679D">
        <w:rPr>
          <w:color w:val="000000"/>
          <w:sz w:val="26"/>
          <w:szCs w:val="26"/>
        </w:rPr>
        <w:t xml:space="preserve"> semestre </w:t>
      </w:r>
      <w:r w:rsidR="00694D23">
        <w:rPr>
          <w:color w:val="000000"/>
          <w:sz w:val="26"/>
          <w:szCs w:val="26"/>
        </w:rPr>
        <w:t>2021</w:t>
      </w:r>
      <w:r w:rsidRPr="0010679D">
        <w:rPr>
          <w:color w:val="000000"/>
          <w:sz w:val="26"/>
          <w:szCs w:val="26"/>
        </w:rPr>
        <w:t xml:space="preserve">, les </w:t>
      </w:r>
      <w:r>
        <w:rPr>
          <w:color w:val="000000"/>
          <w:sz w:val="26"/>
          <w:szCs w:val="26"/>
        </w:rPr>
        <w:t>crédits sains</w:t>
      </w:r>
      <w:r w:rsidRPr="0010679D">
        <w:rPr>
          <w:color w:val="000000"/>
          <w:sz w:val="26"/>
          <w:szCs w:val="26"/>
        </w:rPr>
        <w:t xml:space="preserve"> s’élèvent à </w:t>
      </w:r>
      <w:r>
        <w:rPr>
          <w:color w:val="000000"/>
          <w:sz w:val="26"/>
          <w:szCs w:val="26"/>
        </w:rPr>
        <w:t xml:space="preserve">XOF </w:t>
      </w:r>
      <w:r w:rsidR="00694D23">
        <w:rPr>
          <w:color w:val="000000"/>
          <w:sz w:val="26"/>
          <w:szCs w:val="26"/>
        </w:rPr>
        <w:t xml:space="preserve">1 991 </w:t>
      </w:r>
      <w:r w:rsidR="008F4CE3">
        <w:rPr>
          <w:color w:val="000000"/>
          <w:sz w:val="26"/>
          <w:szCs w:val="26"/>
        </w:rPr>
        <w:t>113</w:t>
      </w:r>
      <w:r w:rsidRPr="0010679D">
        <w:rPr>
          <w:color w:val="000000"/>
          <w:sz w:val="26"/>
          <w:szCs w:val="26"/>
        </w:rPr>
        <w:t> </w:t>
      </w:r>
      <w:r>
        <w:rPr>
          <w:color w:val="000000"/>
          <w:sz w:val="26"/>
          <w:szCs w:val="26"/>
        </w:rPr>
        <w:t>millions</w:t>
      </w:r>
      <w:r w:rsidRPr="0010679D">
        <w:rPr>
          <w:color w:val="000000"/>
          <w:sz w:val="26"/>
          <w:szCs w:val="26"/>
        </w:rPr>
        <w:t xml:space="preserve"> et représentent </w:t>
      </w:r>
      <w:r w:rsidR="008F4CE3">
        <w:rPr>
          <w:color w:val="000000"/>
          <w:sz w:val="26"/>
          <w:szCs w:val="26"/>
        </w:rPr>
        <w:t>96,16</w:t>
      </w:r>
      <w:r w:rsidRPr="0010679D">
        <w:rPr>
          <w:color w:val="000000"/>
          <w:sz w:val="26"/>
          <w:szCs w:val="26"/>
        </w:rPr>
        <w:t xml:space="preserve">% du portefeuille des </w:t>
      </w:r>
      <w:r>
        <w:rPr>
          <w:color w:val="000000"/>
          <w:sz w:val="26"/>
          <w:szCs w:val="26"/>
        </w:rPr>
        <w:t>crédits</w:t>
      </w:r>
      <w:r w:rsidRPr="0010679D">
        <w:rPr>
          <w:color w:val="000000"/>
          <w:sz w:val="26"/>
          <w:szCs w:val="26"/>
        </w:rPr>
        <w:t xml:space="preserve"> en trésorerie contre </w:t>
      </w:r>
      <w:r>
        <w:rPr>
          <w:color w:val="000000"/>
          <w:sz w:val="26"/>
          <w:szCs w:val="26"/>
        </w:rPr>
        <w:t xml:space="preserve">XOF </w:t>
      </w:r>
      <w:r w:rsidR="00694D23">
        <w:rPr>
          <w:color w:val="000000"/>
          <w:sz w:val="26"/>
          <w:szCs w:val="26"/>
        </w:rPr>
        <w:t>1 895 844</w:t>
      </w:r>
      <w:r>
        <w:rPr>
          <w:color w:val="000000"/>
          <w:sz w:val="26"/>
          <w:szCs w:val="26"/>
        </w:rPr>
        <w:t xml:space="preserve"> </w:t>
      </w:r>
      <w:r w:rsidRPr="0010679D">
        <w:rPr>
          <w:color w:val="000000"/>
          <w:sz w:val="26"/>
          <w:szCs w:val="26"/>
        </w:rPr>
        <w:t xml:space="preserve">millions au </w:t>
      </w:r>
      <w:r w:rsidR="00694D23">
        <w:rPr>
          <w:color w:val="000000"/>
          <w:sz w:val="26"/>
          <w:szCs w:val="26"/>
        </w:rPr>
        <w:t>second</w:t>
      </w:r>
      <w:r w:rsidRPr="0010679D">
        <w:rPr>
          <w:color w:val="000000"/>
          <w:sz w:val="26"/>
          <w:szCs w:val="26"/>
        </w:rPr>
        <w:t xml:space="preserve"> semestre </w:t>
      </w:r>
      <w:r w:rsidR="00114240">
        <w:rPr>
          <w:color w:val="000000"/>
          <w:sz w:val="26"/>
          <w:szCs w:val="26"/>
        </w:rPr>
        <w:t>2020</w:t>
      </w:r>
      <w:r w:rsidR="008F4CE3">
        <w:rPr>
          <w:color w:val="000000"/>
          <w:sz w:val="26"/>
          <w:szCs w:val="26"/>
        </w:rPr>
        <w:t>, soit une hausse 5,03</w:t>
      </w:r>
      <w:r w:rsidR="00694D23">
        <w:rPr>
          <w:color w:val="000000"/>
          <w:sz w:val="26"/>
          <w:szCs w:val="26"/>
        </w:rPr>
        <w:t>%</w:t>
      </w:r>
      <w:r w:rsidRPr="0010679D">
        <w:rPr>
          <w:color w:val="000000"/>
          <w:sz w:val="26"/>
          <w:szCs w:val="26"/>
        </w:rPr>
        <w:t xml:space="preserve">. Le montant des créances restructurées a connu une </w:t>
      </w:r>
      <w:r w:rsidR="00EC1F98">
        <w:rPr>
          <w:color w:val="000000"/>
          <w:sz w:val="26"/>
          <w:szCs w:val="26"/>
        </w:rPr>
        <w:t>légère baisse</w:t>
      </w:r>
      <w:r w:rsidRPr="0010679D">
        <w:rPr>
          <w:color w:val="000000"/>
          <w:sz w:val="26"/>
          <w:szCs w:val="26"/>
        </w:rPr>
        <w:t xml:space="preserve"> de </w:t>
      </w:r>
      <w:r w:rsidR="00EC1F98">
        <w:rPr>
          <w:color w:val="000000"/>
          <w:sz w:val="26"/>
          <w:szCs w:val="26"/>
        </w:rPr>
        <w:t>1,28</w:t>
      </w:r>
      <w:r w:rsidR="00694D23">
        <w:rPr>
          <w:color w:val="000000"/>
          <w:sz w:val="26"/>
          <w:szCs w:val="26"/>
        </w:rPr>
        <w:t>%</w:t>
      </w:r>
      <w:r w:rsidRPr="0010679D">
        <w:rPr>
          <w:color w:val="000000"/>
          <w:sz w:val="26"/>
          <w:szCs w:val="26"/>
        </w:rPr>
        <w:t xml:space="preserve"> et se situe à </w:t>
      </w:r>
      <w:r>
        <w:rPr>
          <w:color w:val="000000"/>
          <w:sz w:val="26"/>
          <w:szCs w:val="26"/>
        </w:rPr>
        <w:t xml:space="preserve">XOF </w:t>
      </w:r>
      <w:r w:rsidR="00EC1F98">
        <w:rPr>
          <w:color w:val="000000"/>
          <w:sz w:val="26"/>
          <w:szCs w:val="26"/>
        </w:rPr>
        <w:t>20 223</w:t>
      </w:r>
      <w:r w:rsidRPr="0010679D">
        <w:rPr>
          <w:color w:val="000000"/>
          <w:sz w:val="26"/>
          <w:szCs w:val="26"/>
        </w:rPr>
        <w:t xml:space="preserve"> </w:t>
      </w:r>
      <w:r>
        <w:rPr>
          <w:color w:val="000000"/>
          <w:sz w:val="26"/>
          <w:szCs w:val="26"/>
        </w:rPr>
        <w:t>millions</w:t>
      </w:r>
      <w:r w:rsidRPr="0010679D">
        <w:rPr>
          <w:color w:val="000000"/>
          <w:sz w:val="26"/>
          <w:szCs w:val="26"/>
        </w:rPr>
        <w:t xml:space="preserve"> contre </w:t>
      </w:r>
      <w:r>
        <w:rPr>
          <w:color w:val="000000"/>
          <w:sz w:val="26"/>
          <w:szCs w:val="26"/>
        </w:rPr>
        <w:t xml:space="preserve">XOF </w:t>
      </w:r>
      <w:r w:rsidR="00694D23">
        <w:rPr>
          <w:color w:val="000000"/>
          <w:sz w:val="26"/>
          <w:szCs w:val="26"/>
        </w:rPr>
        <w:t>20 485</w:t>
      </w:r>
      <w:r w:rsidR="00694D23" w:rsidRPr="0010679D">
        <w:rPr>
          <w:color w:val="000000"/>
          <w:sz w:val="26"/>
          <w:szCs w:val="26"/>
        </w:rPr>
        <w:t xml:space="preserve"> </w:t>
      </w:r>
      <w:r>
        <w:rPr>
          <w:color w:val="000000"/>
          <w:sz w:val="26"/>
          <w:szCs w:val="26"/>
        </w:rPr>
        <w:t>millions</w:t>
      </w:r>
      <w:r w:rsidRPr="0010679D">
        <w:rPr>
          <w:color w:val="000000"/>
          <w:sz w:val="26"/>
          <w:szCs w:val="26"/>
        </w:rPr>
        <w:t xml:space="preserve"> </w:t>
      </w:r>
      <w:r>
        <w:rPr>
          <w:color w:val="000000"/>
          <w:sz w:val="26"/>
          <w:szCs w:val="26"/>
        </w:rPr>
        <w:t xml:space="preserve">au </w:t>
      </w:r>
      <w:r w:rsidR="00694D23">
        <w:rPr>
          <w:color w:val="000000"/>
          <w:sz w:val="26"/>
          <w:szCs w:val="26"/>
        </w:rPr>
        <w:t>31</w:t>
      </w:r>
      <w:r w:rsidR="001F3037">
        <w:rPr>
          <w:color w:val="000000"/>
          <w:sz w:val="26"/>
          <w:szCs w:val="26"/>
        </w:rPr>
        <w:t xml:space="preserve"> </w:t>
      </w:r>
      <w:r w:rsidR="00694D23">
        <w:rPr>
          <w:color w:val="000000"/>
          <w:sz w:val="26"/>
          <w:szCs w:val="26"/>
        </w:rPr>
        <w:t>décembre</w:t>
      </w:r>
      <w:r w:rsidR="001F3037">
        <w:rPr>
          <w:color w:val="000000"/>
          <w:sz w:val="26"/>
          <w:szCs w:val="26"/>
        </w:rPr>
        <w:t xml:space="preserve"> </w:t>
      </w:r>
      <w:r w:rsidR="005A35C1">
        <w:rPr>
          <w:color w:val="000000"/>
          <w:sz w:val="26"/>
          <w:szCs w:val="26"/>
        </w:rPr>
        <w:t>2020</w:t>
      </w:r>
      <w:r w:rsidRPr="0010679D">
        <w:rPr>
          <w:color w:val="000000"/>
          <w:sz w:val="26"/>
          <w:szCs w:val="26"/>
        </w:rPr>
        <w:t xml:space="preserve">. Elles représentent </w:t>
      </w:r>
      <w:r w:rsidR="00EC1F98">
        <w:rPr>
          <w:color w:val="000000"/>
          <w:sz w:val="26"/>
          <w:szCs w:val="26"/>
        </w:rPr>
        <w:t>25,44</w:t>
      </w:r>
      <w:r w:rsidRPr="0010679D">
        <w:rPr>
          <w:color w:val="000000"/>
          <w:sz w:val="26"/>
          <w:szCs w:val="26"/>
        </w:rPr>
        <w:t xml:space="preserve">% des créances en souffrance. </w:t>
      </w:r>
    </w:p>
    <w:p w:rsidR="00CA0738" w:rsidRPr="003A4989" w:rsidRDefault="00024390" w:rsidP="00761085">
      <w:pPr>
        <w:pStyle w:val="Retraitcorpsdetexte2"/>
        <w:spacing w:after="0" w:line="360" w:lineRule="auto"/>
        <w:ind w:left="0"/>
        <w:jc w:val="both"/>
        <w:rPr>
          <w:color w:val="000000"/>
          <w:sz w:val="26"/>
          <w:szCs w:val="26"/>
        </w:rPr>
      </w:pPr>
      <w:r w:rsidRPr="003A4989">
        <w:rPr>
          <w:color w:val="000000"/>
          <w:sz w:val="26"/>
          <w:szCs w:val="26"/>
        </w:rPr>
        <w:t xml:space="preserve">Quant aux créances douteuses et litigieuses, </w:t>
      </w:r>
      <w:r w:rsidR="001D4AB1" w:rsidRPr="003A4989">
        <w:rPr>
          <w:color w:val="000000"/>
          <w:sz w:val="26"/>
          <w:szCs w:val="26"/>
        </w:rPr>
        <w:t>elles s’établissent</w:t>
      </w:r>
      <w:r w:rsidR="00AA2B9A" w:rsidRPr="003A4989">
        <w:rPr>
          <w:color w:val="000000"/>
          <w:sz w:val="26"/>
          <w:szCs w:val="26"/>
        </w:rPr>
        <w:t xml:space="preserve"> au </w:t>
      </w:r>
      <w:r w:rsidR="00EC1F98">
        <w:rPr>
          <w:color w:val="000000"/>
          <w:sz w:val="26"/>
          <w:szCs w:val="26"/>
        </w:rPr>
        <w:t>30 juin 2021</w:t>
      </w:r>
      <w:r w:rsidR="001D4AB1" w:rsidRPr="003A4989">
        <w:rPr>
          <w:color w:val="000000"/>
          <w:sz w:val="26"/>
          <w:szCs w:val="26"/>
        </w:rPr>
        <w:t xml:space="preserve"> à </w:t>
      </w:r>
      <w:r w:rsidR="00F77FEC" w:rsidRPr="003A4989">
        <w:rPr>
          <w:color w:val="000000"/>
          <w:sz w:val="26"/>
          <w:szCs w:val="26"/>
        </w:rPr>
        <w:t xml:space="preserve">XOF </w:t>
      </w:r>
      <w:r w:rsidR="00EC1F98">
        <w:rPr>
          <w:color w:val="000000"/>
          <w:sz w:val="26"/>
          <w:szCs w:val="26"/>
        </w:rPr>
        <w:t>59 276</w:t>
      </w:r>
      <w:r w:rsidR="00773674" w:rsidRPr="003A4989">
        <w:rPr>
          <w:color w:val="000000"/>
          <w:sz w:val="26"/>
          <w:szCs w:val="26"/>
        </w:rPr>
        <w:t xml:space="preserve"> </w:t>
      </w:r>
      <w:r w:rsidR="00F77FEC" w:rsidRPr="003A4989">
        <w:rPr>
          <w:color w:val="000000"/>
          <w:sz w:val="26"/>
          <w:szCs w:val="26"/>
        </w:rPr>
        <w:t xml:space="preserve">millions </w:t>
      </w:r>
      <w:r w:rsidR="00595C80">
        <w:rPr>
          <w:color w:val="000000"/>
          <w:sz w:val="26"/>
          <w:szCs w:val="26"/>
        </w:rPr>
        <w:t>et représent</w:t>
      </w:r>
      <w:r w:rsidR="001D4AB1" w:rsidRPr="003A4989">
        <w:rPr>
          <w:color w:val="000000"/>
          <w:sz w:val="26"/>
          <w:szCs w:val="26"/>
        </w:rPr>
        <w:t xml:space="preserve">ent </w:t>
      </w:r>
      <w:r w:rsidR="00EC1F98">
        <w:rPr>
          <w:color w:val="000000"/>
          <w:sz w:val="26"/>
          <w:szCs w:val="26"/>
        </w:rPr>
        <w:t>74,56</w:t>
      </w:r>
      <w:r w:rsidR="001D4AB1" w:rsidRPr="003A4989">
        <w:rPr>
          <w:color w:val="000000"/>
          <w:sz w:val="26"/>
          <w:szCs w:val="26"/>
        </w:rPr>
        <w:t xml:space="preserve">% des créances en souffrance contre </w:t>
      </w:r>
      <w:r w:rsidR="00F77FEC" w:rsidRPr="003A4989">
        <w:rPr>
          <w:color w:val="000000"/>
          <w:sz w:val="26"/>
          <w:szCs w:val="26"/>
        </w:rPr>
        <w:t xml:space="preserve">XOF </w:t>
      </w:r>
      <w:r w:rsidR="00EC1F98">
        <w:rPr>
          <w:color w:val="000000"/>
          <w:sz w:val="26"/>
          <w:szCs w:val="26"/>
        </w:rPr>
        <w:t>56 002</w:t>
      </w:r>
      <w:r w:rsidR="008B3345" w:rsidRPr="003A4989">
        <w:rPr>
          <w:color w:val="000000"/>
          <w:sz w:val="26"/>
          <w:szCs w:val="26"/>
        </w:rPr>
        <w:t xml:space="preserve"> millions</w:t>
      </w:r>
      <w:r w:rsidR="00F77FEC" w:rsidRPr="003A4989">
        <w:rPr>
          <w:color w:val="000000"/>
          <w:sz w:val="26"/>
          <w:szCs w:val="26"/>
        </w:rPr>
        <w:t xml:space="preserve"> </w:t>
      </w:r>
      <w:r w:rsidR="00773674" w:rsidRPr="003A4989">
        <w:rPr>
          <w:color w:val="000000"/>
          <w:sz w:val="26"/>
          <w:szCs w:val="26"/>
        </w:rPr>
        <w:t xml:space="preserve">au </w:t>
      </w:r>
      <w:r w:rsidR="00EC1F98">
        <w:rPr>
          <w:color w:val="000000"/>
          <w:sz w:val="26"/>
          <w:szCs w:val="26"/>
        </w:rPr>
        <w:t>31 décembre</w:t>
      </w:r>
      <w:r w:rsidR="001F3037">
        <w:rPr>
          <w:color w:val="000000"/>
          <w:sz w:val="26"/>
          <w:szCs w:val="26"/>
        </w:rPr>
        <w:t xml:space="preserve"> </w:t>
      </w:r>
      <w:r w:rsidR="00E8010E">
        <w:rPr>
          <w:color w:val="000000"/>
          <w:sz w:val="26"/>
          <w:szCs w:val="26"/>
        </w:rPr>
        <w:t>2020</w:t>
      </w:r>
      <w:r w:rsidR="001D4AB1" w:rsidRPr="003A4989">
        <w:rPr>
          <w:color w:val="000000"/>
          <w:sz w:val="26"/>
          <w:szCs w:val="26"/>
        </w:rPr>
        <w:t>, soit un</w:t>
      </w:r>
      <w:r w:rsidR="00864E1C">
        <w:rPr>
          <w:color w:val="000000"/>
          <w:sz w:val="26"/>
          <w:szCs w:val="26"/>
        </w:rPr>
        <w:t>e</w:t>
      </w:r>
      <w:r w:rsidR="001D4AB1" w:rsidRPr="003A4989">
        <w:rPr>
          <w:color w:val="000000"/>
          <w:sz w:val="26"/>
          <w:szCs w:val="26"/>
        </w:rPr>
        <w:t xml:space="preserve"> </w:t>
      </w:r>
      <w:r w:rsidR="00EC1F98">
        <w:rPr>
          <w:color w:val="000000"/>
          <w:sz w:val="26"/>
          <w:szCs w:val="26"/>
        </w:rPr>
        <w:t>dégradation</w:t>
      </w:r>
      <w:r w:rsidR="00864E1C">
        <w:rPr>
          <w:color w:val="000000"/>
          <w:sz w:val="26"/>
          <w:szCs w:val="26"/>
        </w:rPr>
        <w:t xml:space="preserve"> de </w:t>
      </w:r>
      <w:r w:rsidR="00EC1F98">
        <w:rPr>
          <w:color w:val="000000"/>
          <w:sz w:val="26"/>
          <w:szCs w:val="26"/>
        </w:rPr>
        <w:t>5,85</w:t>
      </w:r>
      <w:r w:rsidR="001D4AB1" w:rsidRPr="00B10F94">
        <w:rPr>
          <w:color w:val="000000"/>
          <w:sz w:val="26"/>
          <w:szCs w:val="26"/>
        </w:rPr>
        <w:t>%</w:t>
      </w:r>
      <w:r w:rsidR="008A6AB0">
        <w:rPr>
          <w:color w:val="000000"/>
          <w:sz w:val="26"/>
          <w:szCs w:val="26"/>
        </w:rPr>
        <w:t xml:space="preserve"> (</w:t>
      </w:r>
      <w:r w:rsidR="00EC1F98">
        <w:rPr>
          <w:color w:val="000000"/>
          <w:sz w:val="26"/>
          <w:szCs w:val="26"/>
        </w:rPr>
        <w:t>+</w:t>
      </w:r>
      <w:r w:rsidR="008A6AB0">
        <w:rPr>
          <w:color w:val="000000"/>
          <w:sz w:val="26"/>
          <w:szCs w:val="26"/>
        </w:rPr>
        <w:t xml:space="preserve">XOF </w:t>
      </w:r>
      <w:r w:rsidR="00EC1F98">
        <w:rPr>
          <w:color w:val="000000"/>
          <w:sz w:val="26"/>
          <w:szCs w:val="26"/>
        </w:rPr>
        <w:t>3 274</w:t>
      </w:r>
      <w:r w:rsidR="008A6AB0">
        <w:rPr>
          <w:color w:val="000000"/>
          <w:sz w:val="26"/>
          <w:szCs w:val="26"/>
        </w:rPr>
        <w:t xml:space="preserve"> millions)</w:t>
      </w:r>
      <w:r w:rsidR="00773674" w:rsidRPr="00B10F94">
        <w:rPr>
          <w:color w:val="000000"/>
          <w:sz w:val="26"/>
          <w:szCs w:val="26"/>
        </w:rPr>
        <w:t>.</w:t>
      </w:r>
      <w:r w:rsidR="001D4AB1" w:rsidRPr="003A4989">
        <w:rPr>
          <w:color w:val="000000"/>
          <w:sz w:val="26"/>
          <w:szCs w:val="26"/>
        </w:rPr>
        <w:t xml:space="preserve"> </w:t>
      </w:r>
    </w:p>
    <w:p w:rsidR="00761085" w:rsidRPr="003A4989" w:rsidRDefault="009A5431" w:rsidP="00AB1441">
      <w:pPr>
        <w:pStyle w:val="Retraitcorpsdetexte2"/>
        <w:spacing w:after="0" w:line="360" w:lineRule="auto"/>
        <w:ind w:left="0"/>
        <w:jc w:val="both"/>
        <w:rPr>
          <w:color w:val="000000"/>
          <w:sz w:val="26"/>
          <w:szCs w:val="26"/>
        </w:rPr>
      </w:pPr>
      <w:r w:rsidRPr="003A4989">
        <w:rPr>
          <w:color w:val="000000"/>
          <w:sz w:val="26"/>
          <w:szCs w:val="26"/>
        </w:rPr>
        <w:t xml:space="preserve">Sur les engagements </w:t>
      </w:r>
      <w:r w:rsidR="00750F6F" w:rsidRPr="003A4989">
        <w:rPr>
          <w:color w:val="000000"/>
          <w:sz w:val="26"/>
          <w:szCs w:val="26"/>
        </w:rPr>
        <w:t>hors bilan</w:t>
      </w:r>
      <w:r w:rsidRPr="003A4989">
        <w:rPr>
          <w:color w:val="000000"/>
          <w:sz w:val="26"/>
          <w:szCs w:val="26"/>
        </w:rPr>
        <w:t xml:space="preserve">, le montant brut se situe à </w:t>
      </w:r>
      <w:r w:rsidR="00525523" w:rsidRPr="003A4989">
        <w:rPr>
          <w:color w:val="000000"/>
          <w:sz w:val="26"/>
          <w:szCs w:val="26"/>
        </w:rPr>
        <w:t xml:space="preserve">XOF </w:t>
      </w:r>
      <w:r w:rsidR="009679C3">
        <w:rPr>
          <w:color w:val="000000"/>
          <w:sz w:val="26"/>
          <w:szCs w:val="26"/>
        </w:rPr>
        <w:t>1 006 677</w:t>
      </w:r>
      <w:r w:rsidR="00517B3D" w:rsidRPr="003A4989">
        <w:rPr>
          <w:color w:val="000000"/>
          <w:sz w:val="26"/>
          <w:szCs w:val="26"/>
        </w:rPr>
        <w:t xml:space="preserve"> </w:t>
      </w:r>
      <w:r w:rsidR="00525523" w:rsidRPr="003A4989">
        <w:rPr>
          <w:color w:val="000000"/>
          <w:sz w:val="26"/>
          <w:szCs w:val="26"/>
        </w:rPr>
        <w:t xml:space="preserve">millions </w:t>
      </w:r>
      <w:r w:rsidRPr="003A4989">
        <w:rPr>
          <w:color w:val="000000"/>
          <w:sz w:val="26"/>
          <w:szCs w:val="26"/>
        </w:rPr>
        <w:t xml:space="preserve">dont </w:t>
      </w:r>
      <w:r w:rsidR="00CE61C2" w:rsidRPr="003A4989">
        <w:rPr>
          <w:color w:val="000000"/>
          <w:sz w:val="26"/>
          <w:szCs w:val="26"/>
        </w:rPr>
        <w:t xml:space="preserve">XOF </w:t>
      </w:r>
      <w:r w:rsidR="009679C3">
        <w:rPr>
          <w:color w:val="000000"/>
          <w:sz w:val="26"/>
          <w:szCs w:val="26"/>
        </w:rPr>
        <w:t>1 003 285</w:t>
      </w:r>
      <w:r w:rsidR="00A349AF" w:rsidRPr="003A4989">
        <w:rPr>
          <w:color w:val="000000"/>
          <w:sz w:val="26"/>
          <w:szCs w:val="26"/>
        </w:rPr>
        <w:t xml:space="preserve"> </w:t>
      </w:r>
      <w:r w:rsidR="00CE61C2" w:rsidRPr="003A4989">
        <w:rPr>
          <w:color w:val="000000"/>
          <w:sz w:val="26"/>
          <w:szCs w:val="26"/>
        </w:rPr>
        <w:t xml:space="preserve">millions </w:t>
      </w:r>
      <w:r w:rsidRPr="003A4989">
        <w:rPr>
          <w:color w:val="000000"/>
          <w:sz w:val="26"/>
          <w:szCs w:val="26"/>
        </w:rPr>
        <w:t xml:space="preserve">d’engagements sains </w:t>
      </w:r>
      <w:r w:rsidR="00A62616" w:rsidRPr="003A4989">
        <w:rPr>
          <w:color w:val="000000"/>
          <w:sz w:val="26"/>
          <w:szCs w:val="26"/>
        </w:rPr>
        <w:t>(</w:t>
      </w:r>
      <w:r w:rsidR="009679C3">
        <w:rPr>
          <w:color w:val="000000"/>
          <w:sz w:val="26"/>
          <w:szCs w:val="26"/>
        </w:rPr>
        <w:t>99,66</w:t>
      </w:r>
      <w:r w:rsidR="00A62616" w:rsidRPr="003A4989">
        <w:rPr>
          <w:color w:val="000000"/>
          <w:sz w:val="26"/>
          <w:szCs w:val="26"/>
        </w:rPr>
        <w:t xml:space="preserve">%) </w:t>
      </w:r>
      <w:r w:rsidRPr="003A4989">
        <w:rPr>
          <w:color w:val="000000"/>
          <w:sz w:val="26"/>
          <w:szCs w:val="26"/>
        </w:rPr>
        <w:t xml:space="preserve">contre </w:t>
      </w:r>
      <w:r w:rsidR="00CE61C2" w:rsidRPr="003A4989">
        <w:rPr>
          <w:color w:val="000000"/>
          <w:sz w:val="26"/>
          <w:szCs w:val="26"/>
        </w:rPr>
        <w:t xml:space="preserve">XOF </w:t>
      </w:r>
      <w:r w:rsidR="009679C3">
        <w:rPr>
          <w:color w:val="000000"/>
          <w:sz w:val="26"/>
          <w:szCs w:val="26"/>
        </w:rPr>
        <w:t>848 841</w:t>
      </w:r>
      <w:r w:rsidR="00CE61C2" w:rsidRPr="003A4989">
        <w:rPr>
          <w:color w:val="000000"/>
          <w:sz w:val="26"/>
          <w:szCs w:val="26"/>
        </w:rPr>
        <w:t xml:space="preserve"> millions</w:t>
      </w:r>
      <w:r w:rsidR="0024056B" w:rsidRPr="003A4989">
        <w:rPr>
          <w:color w:val="000000"/>
          <w:sz w:val="26"/>
          <w:szCs w:val="26"/>
        </w:rPr>
        <w:t xml:space="preserve"> au </w:t>
      </w:r>
      <w:r w:rsidR="009679C3">
        <w:rPr>
          <w:color w:val="000000"/>
          <w:sz w:val="26"/>
          <w:szCs w:val="26"/>
        </w:rPr>
        <w:t>31/12/2020</w:t>
      </w:r>
      <w:r w:rsidR="00DB0D7E" w:rsidRPr="003A4989">
        <w:rPr>
          <w:color w:val="000000"/>
          <w:sz w:val="26"/>
          <w:szCs w:val="26"/>
        </w:rPr>
        <w:t xml:space="preserve">, soit </w:t>
      </w:r>
      <w:r w:rsidR="00DF622D">
        <w:rPr>
          <w:color w:val="000000"/>
          <w:sz w:val="26"/>
          <w:szCs w:val="26"/>
        </w:rPr>
        <w:t>une hausse</w:t>
      </w:r>
      <w:r w:rsidR="00517B3D" w:rsidRPr="003A4989">
        <w:rPr>
          <w:color w:val="000000"/>
          <w:sz w:val="26"/>
          <w:szCs w:val="26"/>
        </w:rPr>
        <w:t xml:space="preserve"> de </w:t>
      </w:r>
      <w:r w:rsidR="009679C3">
        <w:rPr>
          <w:color w:val="000000"/>
          <w:sz w:val="26"/>
          <w:szCs w:val="26"/>
        </w:rPr>
        <w:t>18,59</w:t>
      </w:r>
      <w:r w:rsidRPr="003A4989">
        <w:rPr>
          <w:color w:val="000000"/>
          <w:sz w:val="26"/>
          <w:szCs w:val="26"/>
        </w:rPr>
        <w:t xml:space="preserve">%. </w:t>
      </w:r>
      <w:r w:rsidR="00761085" w:rsidRPr="003A4989">
        <w:rPr>
          <w:color w:val="000000"/>
          <w:sz w:val="26"/>
          <w:szCs w:val="26"/>
        </w:rPr>
        <w:t>Le niveau des engagements</w:t>
      </w:r>
      <w:r w:rsidR="00C74A9E" w:rsidRPr="003A4989">
        <w:rPr>
          <w:color w:val="000000"/>
          <w:sz w:val="26"/>
          <w:szCs w:val="26"/>
        </w:rPr>
        <w:t xml:space="preserve"> </w:t>
      </w:r>
      <w:r w:rsidR="00A62616" w:rsidRPr="003A4989">
        <w:rPr>
          <w:color w:val="000000"/>
          <w:sz w:val="26"/>
          <w:szCs w:val="26"/>
        </w:rPr>
        <w:t>hors bilan</w:t>
      </w:r>
      <w:r w:rsidR="00761085" w:rsidRPr="003A4989">
        <w:rPr>
          <w:color w:val="000000"/>
          <w:sz w:val="26"/>
          <w:szCs w:val="26"/>
        </w:rPr>
        <w:t xml:space="preserve"> douteux est passé à </w:t>
      </w:r>
      <w:r w:rsidR="00CE61C2" w:rsidRPr="003A4989">
        <w:rPr>
          <w:color w:val="000000"/>
          <w:sz w:val="26"/>
          <w:szCs w:val="26"/>
        </w:rPr>
        <w:t xml:space="preserve">XOF </w:t>
      </w:r>
      <w:r w:rsidR="009679C3">
        <w:rPr>
          <w:color w:val="000000"/>
          <w:sz w:val="26"/>
          <w:szCs w:val="26"/>
        </w:rPr>
        <w:t>3 092</w:t>
      </w:r>
      <w:r w:rsidR="00517B3D" w:rsidRPr="003A4989">
        <w:rPr>
          <w:color w:val="000000"/>
          <w:sz w:val="26"/>
          <w:szCs w:val="26"/>
        </w:rPr>
        <w:t xml:space="preserve"> </w:t>
      </w:r>
      <w:r w:rsidR="00CE61C2" w:rsidRPr="003A4989">
        <w:rPr>
          <w:color w:val="000000"/>
          <w:sz w:val="26"/>
          <w:szCs w:val="26"/>
        </w:rPr>
        <w:t xml:space="preserve">millions </w:t>
      </w:r>
      <w:r w:rsidR="00761085" w:rsidRPr="003A4989">
        <w:rPr>
          <w:color w:val="000000"/>
          <w:sz w:val="26"/>
          <w:szCs w:val="26"/>
        </w:rPr>
        <w:t>après la révision</w:t>
      </w:r>
      <w:r w:rsidR="00C74A9E" w:rsidRPr="003A4989">
        <w:rPr>
          <w:color w:val="000000"/>
          <w:sz w:val="26"/>
          <w:szCs w:val="26"/>
        </w:rPr>
        <w:t xml:space="preserve"> </w:t>
      </w:r>
      <w:r w:rsidR="00343E5E" w:rsidRPr="003A4989">
        <w:rPr>
          <w:color w:val="000000"/>
          <w:sz w:val="26"/>
          <w:szCs w:val="26"/>
        </w:rPr>
        <w:t xml:space="preserve">contre </w:t>
      </w:r>
      <w:r w:rsidR="00CE61C2" w:rsidRPr="003A4989">
        <w:rPr>
          <w:color w:val="000000"/>
          <w:sz w:val="26"/>
          <w:szCs w:val="26"/>
        </w:rPr>
        <w:t xml:space="preserve">XOF </w:t>
      </w:r>
      <w:r w:rsidR="009679C3">
        <w:rPr>
          <w:color w:val="000000"/>
          <w:sz w:val="26"/>
          <w:szCs w:val="26"/>
        </w:rPr>
        <w:t>2 229</w:t>
      </w:r>
      <w:r w:rsidR="00AB1441">
        <w:rPr>
          <w:color w:val="000000"/>
          <w:sz w:val="26"/>
          <w:szCs w:val="26"/>
        </w:rPr>
        <w:t xml:space="preserve"> </w:t>
      </w:r>
      <w:r w:rsidR="00416FD0" w:rsidRPr="003A4989">
        <w:rPr>
          <w:color w:val="000000"/>
          <w:sz w:val="26"/>
          <w:szCs w:val="26"/>
        </w:rPr>
        <w:t>millions</w:t>
      </w:r>
      <w:r w:rsidR="00343E5E" w:rsidRPr="003A4989">
        <w:rPr>
          <w:color w:val="000000"/>
          <w:sz w:val="26"/>
          <w:szCs w:val="26"/>
        </w:rPr>
        <w:t xml:space="preserve"> au </w:t>
      </w:r>
      <w:r w:rsidR="009679C3">
        <w:rPr>
          <w:color w:val="000000"/>
          <w:sz w:val="26"/>
          <w:szCs w:val="26"/>
        </w:rPr>
        <w:t>31 décembre 2020</w:t>
      </w:r>
      <w:r w:rsidR="00864B88" w:rsidRPr="003A4989">
        <w:rPr>
          <w:color w:val="000000"/>
          <w:sz w:val="26"/>
          <w:szCs w:val="26"/>
        </w:rPr>
        <w:t>,</w:t>
      </w:r>
      <w:r w:rsidR="002F7B42" w:rsidRPr="003A4989">
        <w:rPr>
          <w:color w:val="000000"/>
          <w:sz w:val="26"/>
          <w:szCs w:val="26"/>
        </w:rPr>
        <w:t xml:space="preserve"> soit un</w:t>
      </w:r>
      <w:r w:rsidR="008A74A4">
        <w:rPr>
          <w:color w:val="000000"/>
          <w:sz w:val="26"/>
          <w:szCs w:val="26"/>
        </w:rPr>
        <w:t>e</w:t>
      </w:r>
      <w:r w:rsidR="00343E5E" w:rsidRPr="003A4989">
        <w:rPr>
          <w:color w:val="000000"/>
          <w:sz w:val="26"/>
          <w:szCs w:val="26"/>
        </w:rPr>
        <w:t xml:space="preserve"> </w:t>
      </w:r>
      <w:r w:rsidR="00DA27FE">
        <w:rPr>
          <w:color w:val="000000"/>
          <w:sz w:val="26"/>
          <w:szCs w:val="26"/>
        </w:rPr>
        <w:t>détérioration</w:t>
      </w:r>
      <w:r w:rsidR="00517B3D" w:rsidRPr="003A4989">
        <w:rPr>
          <w:color w:val="000000"/>
          <w:sz w:val="26"/>
          <w:szCs w:val="26"/>
        </w:rPr>
        <w:t xml:space="preserve"> de </w:t>
      </w:r>
      <w:r w:rsidR="009679C3">
        <w:rPr>
          <w:color w:val="000000"/>
          <w:sz w:val="26"/>
          <w:szCs w:val="26"/>
        </w:rPr>
        <w:t>38,67</w:t>
      </w:r>
      <w:r w:rsidR="00761085" w:rsidRPr="003A4989">
        <w:rPr>
          <w:color w:val="000000"/>
          <w:sz w:val="26"/>
          <w:szCs w:val="26"/>
        </w:rPr>
        <w:t>%.</w:t>
      </w:r>
    </w:p>
    <w:p w:rsidR="00C81279" w:rsidRDefault="00872631" w:rsidP="009539D5">
      <w:pPr>
        <w:pStyle w:val="Retraitcorpsdetexte2"/>
        <w:spacing w:after="0" w:line="360" w:lineRule="auto"/>
        <w:ind w:left="0"/>
        <w:jc w:val="both"/>
        <w:rPr>
          <w:color w:val="000000"/>
          <w:sz w:val="26"/>
          <w:szCs w:val="26"/>
        </w:rPr>
      </w:pPr>
      <w:r w:rsidRPr="003A4989">
        <w:rPr>
          <w:color w:val="000000"/>
          <w:sz w:val="26"/>
          <w:szCs w:val="26"/>
        </w:rPr>
        <w:t xml:space="preserve">Il convient </w:t>
      </w:r>
      <w:r w:rsidR="00DF622D">
        <w:rPr>
          <w:color w:val="000000"/>
          <w:sz w:val="26"/>
          <w:szCs w:val="26"/>
        </w:rPr>
        <w:t>aussi</w:t>
      </w:r>
      <w:r w:rsidRPr="003A4989">
        <w:rPr>
          <w:color w:val="000000"/>
          <w:sz w:val="26"/>
          <w:szCs w:val="26"/>
        </w:rPr>
        <w:t xml:space="preserve"> de signaler que</w:t>
      </w:r>
      <w:r w:rsidR="00E74AE9" w:rsidRPr="003A4989">
        <w:rPr>
          <w:color w:val="000000"/>
          <w:sz w:val="26"/>
          <w:szCs w:val="26"/>
        </w:rPr>
        <w:t xml:space="preserve"> le</w:t>
      </w:r>
      <w:r w:rsidR="008A7CE9" w:rsidRPr="003A4989">
        <w:rPr>
          <w:color w:val="000000"/>
          <w:sz w:val="26"/>
          <w:szCs w:val="26"/>
        </w:rPr>
        <w:t>s</w:t>
      </w:r>
      <w:r w:rsidR="00E74AE9" w:rsidRPr="003A4989">
        <w:rPr>
          <w:color w:val="000000"/>
          <w:sz w:val="26"/>
          <w:szCs w:val="26"/>
        </w:rPr>
        <w:t xml:space="preserve"> taux de provisionnement se situe</w:t>
      </w:r>
      <w:r w:rsidR="008A7CE9" w:rsidRPr="003A4989">
        <w:rPr>
          <w:color w:val="000000"/>
          <w:sz w:val="26"/>
          <w:szCs w:val="26"/>
        </w:rPr>
        <w:t>nt</w:t>
      </w:r>
      <w:r w:rsidR="00E74AE9" w:rsidRPr="003A4989">
        <w:rPr>
          <w:color w:val="000000"/>
          <w:sz w:val="26"/>
          <w:szCs w:val="26"/>
        </w:rPr>
        <w:t xml:space="preserve"> à</w:t>
      </w:r>
      <w:r w:rsidR="00CE61C2" w:rsidRPr="003A4989">
        <w:rPr>
          <w:color w:val="000000"/>
          <w:sz w:val="26"/>
          <w:szCs w:val="26"/>
        </w:rPr>
        <w:t xml:space="preserve"> </w:t>
      </w:r>
      <w:r w:rsidR="009679C3">
        <w:rPr>
          <w:color w:val="000000"/>
          <w:sz w:val="26"/>
          <w:szCs w:val="26"/>
        </w:rPr>
        <w:t>86,5</w:t>
      </w:r>
      <w:r w:rsidR="00E74AE9" w:rsidRPr="003A4989">
        <w:rPr>
          <w:color w:val="000000"/>
          <w:sz w:val="26"/>
          <w:szCs w:val="26"/>
        </w:rPr>
        <w:t>%</w:t>
      </w:r>
      <w:r w:rsidR="008A7CE9" w:rsidRPr="003A4989">
        <w:rPr>
          <w:color w:val="000000"/>
          <w:sz w:val="26"/>
          <w:szCs w:val="26"/>
        </w:rPr>
        <w:t xml:space="preserve"> et </w:t>
      </w:r>
      <w:r w:rsidR="009679C3">
        <w:rPr>
          <w:color w:val="000000"/>
          <w:sz w:val="26"/>
          <w:szCs w:val="26"/>
        </w:rPr>
        <w:t>53,0</w:t>
      </w:r>
      <w:r w:rsidR="008A7CE9" w:rsidRPr="003A4989">
        <w:rPr>
          <w:color w:val="000000"/>
          <w:sz w:val="26"/>
          <w:szCs w:val="26"/>
        </w:rPr>
        <w:t xml:space="preserve">% </w:t>
      </w:r>
      <w:r w:rsidR="002F66E7" w:rsidRPr="003A4989">
        <w:rPr>
          <w:color w:val="000000"/>
          <w:sz w:val="26"/>
          <w:szCs w:val="26"/>
        </w:rPr>
        <w:t>respectivement</w:t>
      </w:r>
      <w:r w:rsidR="008A7CE9" w:rsidRPr="003A4989">
        <w:rPr>
          <w:color w:val="000000"/>
          <w:sz w:val="26"/>
          <w:szCs w:val="26"/>
        </w:rPr>
        <w:t xml:space="preserve"> sur les </w:t>
      </w:r>
      <w:r w:rsidR="005514C8">
        <w:rPr>
          <w:color w:val="000000"/>
          <w:sz w:val="26"/>
          <w:szCs w:val="26"/>
        </w:rPr>
        <w:t>créances douteuses et litigieuses</w:t>
      </w:r>
      <w:r w:rsidR="008A7CE9" w:rsidRPr="003A4989">
        <w:rPr>
          <w:color w:val="000000"/>
          <w:sz w:val="26"/>
          <w:szCs w:val="26"/>
        </w:rPr>
        <w:t xml:space="preserve"> et </w:t>
      </w:r>
      <w:r w:rsidR="00E74AE9" w:rsidRPr="003A4989">
        <w:rPr>
          <w:color w:val="000000"/>
          <w:sz w:val="26"/>
          <w:szCs w:val="26"/>
        </w:rPr>
        <w:t xml:space="preserve">les </w:t>
      </w:r>
      <w:r w:rsidRPr="003A4989">
        <w:rPr>
          <w:color w:val="000000"/>
          <w:sz w:val="26"/>
          <w:szCs w:val="26"/>
        </w:rPr>
        <w:t>créances restructurées</w:t>
      </w:r>
      <w:r w:rsidR="007C53A1" w:rsidRPr="003A4989">
        <w:rPr>
          <w:color w:val="000000"/>
          <w:sz w:val="26"/>
          <w:szCs w:val="26"/>
        </w:rPr>
        <w:t>.</w:t>
      </w:r>
    </w:p>
    <w:p w:rsidR="00CC7576" w:rsidRPr="008B7571" w:rsidRDefault="00CC7576" w:rsidP="00CC7576">
      <w:pPr>
        <w:spacing w:line="360" w:lineRule="auto"/>
        <w:jc w:val="both"/>
        <w:rPr>
          <w:sz w:val="28"/>
          <w:szCs w:val="28"/>
        </w:rPr>
      </w:pPr>
    </w:p>
    <w:p w:rsidR="00394C2E" w:rsidRDefault="00444632" w:rsidP="004274F6">
      <w:pPr>
        <w:spacing w:before="120" w:line="360" w:lineRule="auto"/>
        <w:jc w:val="both"/>
        <w:rPr>
          <w:color w:val="000000"/>
          <w:sz w:val="26"/>
          <w:szCs w:val="26"/>
        </w:rPr>
      </w:pPr>
      <w:r>
        <w:rPr>
          <w:noProof/>
          <w:sz w:val="28"/>
          <w:szCs w:val="28"/>
        </w:rPr>
        <mc:AlternateContent>
          <mc:Choice Requires="wps">
            <w:drawing>
              <wp:anchor distT="0" distB="0" distL="114300" distR="114300" simplePos="0" relativeHeight="251685888" behindDoc="0" locked="0" layoutInCell="1" allowOverlap="1" wp14:anchorId="0D427EB1" wp14:editId="6D2DFE78">
                <wp:simplePos x="0" y="0"/>
                <wp:positionH relativeFrom="column">
                  <wp:posOffset>43180</wp:posOffset>
                </wp:positionH>
                <wp:positionV relativeFrom="paragraph">
                  <wp:posOffset>222885</wp:posOffset>
                </wp:positionV>
                <wp:extent cx="5603444" cy="295275"/>
                <wp:effectExtent l="0" t="0" r="1651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444" cy="295275"/>
                        </a:xfrm>
                        <a:prstGeom prst="rect">
                          <a:avLst/>
                        </a:prstGeom>
                        <a:solidFill>
                          <a:schemeClr val="bg1">
                            <a:lumMod val="85000"/>
                            <a:lumOff val="0"/>
                          </a:schemeClr>
                        </a:solidFill>
                        <a:ln w="9525">
                          <a:solidFill>
                            <a:srgbClr val="000000"/>
                          </a:solidFill>
                          <a:miter lim="800000"/>
                          <a:headEnd/>
                          <a:tailEnd/>
                        </a:ln>
                      </wps:spPr>
                      <wps:txbx>
                        <w:txbxContent>
                          <w:p w:rsidR="000E0E5F" w:rsidRPr="0010679D" w:rsidRDefault="000E0E5F" w:rsidP="00CC7576">
                            <w:pPr>
                              <w:jc w:val="center"/>
                              <w:rPr>
                                <w:b/>
                                <w:sz w:val="26"/>
                                <w:szCs w:val="26"/>
                              </w:rPr>
                            </w:pPr>
                            <w:r>
                              <w:rPr>
                                <w:b/>
                                <w:sz w:val="26"/>
                                <w:szCs w:val="26"/>
                              </w:rPr>
                              <w:t>ANALYSE DU PORTEFEUILLE OBLIBATIONS ET BONS DE TRESOR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427EB1" id="_x0000_s1027" type="#_x0000_t202" style="position:absolute;left:0;text-align:left;margin-left:3.4pt;margin-top:17.55pt;width:441.2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" fillcolor="#d8d8d8 [2732]">
                <v:textbox>
                  <w:txbxContent>
                    <w:p w:rsidR="000E0E5F" w:rsidRPr="0010679D" w:rsidRDefault="000E0E5F" w:rsidP="00CC7576">
                      <w:pPr>
                        <w:jc w:val="center"/>
                        <w:rPr>
                          <w:b/>
                          <w:sz w:val="26"/>
                          <w:szCs w:val="26"/>
                        </w:rPr>
                      </w:pPr>
                      <w:r>
                        <w:rPr>
                          <w:b/>
                          <w:sz w:val="26"/>
                          <w:szCs w:val="26"/>
                        </w:rPr>
                        <w:t>ANALYSE DU PORTEFEUILLE OBLIBATIONS ET BONS DE TRESOR</w:t>
                      </w:r>
                    </w:p>
                  </w:txbxContent>
                </v:textbox>
              </v:shape>
            </w:pict>
          </mc:Fallback>
        </mc:AlternateContent>
      </w:r>
    </w:p>
    <w:p w:rsidR="00444632" w:rsidRDefault="00444632" w:rsidP="004274F6">
      <w:pPr>
        <w:spacing w:before="120" w:line="360" w:lineRule="auto"/>
        <w:jc w:val="both"/>
        <w:rPr>
          <w:color w:val="000000"/>
          <w:sz w:val="26"/>
          <w:szCs w:val="26"/>
        </w:rPr>
      </w:pPr>
    </w:p>
    <w:p w:rsidR="00394C2E" w:rsidRDefault="004274F6" w:rsidP="004274F6">
      <w:pPr>
        <w:spacing w:before="120" w:line="360" w:lineRule="auto"/>
        <w:jc w:val="both"/>
        <w:rPr>
          <w:sz w:val="26"/>
          <w:szCs w:val="26"/>
        </w:rPr>
      </w:pPr>
      <w:r>
        <w:rPr>
          <w:color w:val="000000"/>
          <w:sz w:val="26"/>
          <w:szCs w:val="26"/>
        </w:rPr>
        <w:t xml:space="preserve">A fin juin 2021, </w:t>
      </w:r>
      <w:r w:rsidRPr="003846C2">
        <w:rPr>
          <w:color w:val="000000"/>
          <w:sz w:val="26"/>
          <w:szCs w:val="26"/>
        </w:rPr>
        <w:t>l’encours de ce portefeuille</w:t>
      </w:r>
      <w:r>
        <w:rPr>
          <w:color w:val="000000"/>
          <w:sz w:val="26"/>
          <w:szCs w:val="26"/>
        </w:rPr>
        <w:t xml:space="preserve"> Obligations et Bons de Trésor</w:t>
      </w:r>
      <w:r w:rsidRPr="003846C2">
        <w:rPr>
          <w:color w:val="000000"/>
          <w:sz w:val="26"/>
          <w:szCs w:val="26"/>
        </w:rPr>
        <w:t xml:space="preserve"> s’établit à </w:t>
      </w:r>
      <w:r w:rsidRPr="00394C2E">
        <w:rPr>
          <w:color w:val="000000"/>
          <w:sz w:val="26"/>
          <w:szCs w:val="26"/>
        </w:rPr>
        <w:t>XOF 1 531 485 millions contre</w:t>
      </w:r>
      <w:r>
        <w:rPr>
          <w:color w:val="000000"/>
          <w:sz w:val="26"/>
          <w:szCs w:val="26"/>
        </w:rPr>
        <w:t xml:space="preserve"> XOF 1 186 253 millions à fin décembre 2020, soit une évolution à hausse de 30% (XOF </w:t>
      </w:r>
      <w:r w:rsidR="00394C2E">
        <w:rPr>
          <w:color w:val="000000"/>
          <w:sz w:val="26"/>
          <w:szCs w:val="26"/>
        </w:rPr>
        <w:t>345 232 millions).</w:t>
      </w:r>
      <w:r w:rsidRPr="00BA4355">
        <w:rPr>
          <w:sz w:val="26"/>
          <w:szCs w:val="26"/>
        </w:rPr>
        <w:t xml:space="preserve"> </w:t>
      </w:r>
    </w:p>
    <w:p w:rsidR="004274F6" w:rsidRPr="003846C2" w:rsidRDefault="00394C2E" w:rsidP="004274F6">
      <w:pPr>
        <w:spacing w:before="120" w:line="360" w:lineRule="auto"/>
        <w:jc w:val="both"/>
        <w:rPr>
          <w:color w:val="000000"/>
          <w:sz w:val="26"/>
          <w:szCs w:val="26"/>
        </w:rPr>
      </w:pPr>
      <w:r>
        <w:rPr>
          <w:color w:val="000000"/>
          <w:sz w:val="26"/>
          <w:szCs w:val="26"/>
        </w:rPr>
        <w:t>Les titres d’Etat s’élèvent à XOF 1 521 932 millions et représentent 99,4% du portefeuille Titres. Ils</w:t>
      </w:r>
      <w:r w:rsidR="004274F6" w:rsidRPr="00DA3B2A">
        <w:rPr>
          <w:color w:val="000000"/>
          <w:sz w:val="26"/>
          <w:szCs w:val="26"/>
        </w:rPr>
        <w:t xml:space="preserve"> sont émis et garantis par les Etats </w:t>
      </w:r>
      <w:r w:rsidR="004274F6">
        <w:rPr>
          <w:color w:val="000000"/>
          <w:sz w:val="26"/>
          <w:szCs w:val="26"/>
        </w:rPr>
        <w:t>de l’Union</w:t>
      </w:r>
      <w:r w:rsidR="004274F6" w:rsidRPr="00DA3B2A">
        <w:rPr>
          <w:color w:val="000000"/>
          <w:sz w:val="26"/>
          <w:szCs w:val="26"/>
        </w:rPr>
        <w:t xml:space="preserve"> et </w:t>
      </w:r>
      <w:r w:rsidR="004274F6">
        <w:rPr>
          <w:color w:val="000000"/>
          <w:sz w:val="26"/>
          <w:szCs w:val="26"/>
        </w:rPr>
        <w:t xml:space="preserve">les Institutions Financières et sont </w:t>
      </w:r>
      <w:r w:rsidR="004274F6" w:rsidRPr="00DA3B2A">
        <w:rPr>
          <w:color w:val="000000"/>
          <w:sz w:val="26"/>
          <w:szCs w:val="26"/>
        </w:rPr>
        <w:t xml:space="preserve">gérés </w:t>
      </w:r>
      <w:r w:rsidR="004274F6">
        <w:rPr>
          <w:color w:val="000000"/>
          <w:sz w:val="26"/>
          <w:szCs w:val="26"/>
        </w:rPr>
        <w:t xml:space="preserve">pour la plupart </w:t>
      </w:r>
      <w:r w:rsidR="004274F6" w:rsidRPr="00DA3B2A">
        <w:rPr>
          <w:color w:val="000000"/>
          <w:sz w:val="26"/>
          <w:szCs w:val="26"/>
        </w:rPr>
        <w:t>par l’Agence UEMOA-Titres à travers des mécanismes qui minimisent au mieux le risque de défaut.</w:t>
      </w:r>
    </w:p>
    <w:p w:rsidR="004274F6" w:rsidRDefault="00394C2E" w:rsidP="00394C2E">
      <w:pPr>
        <w:spacing w:before="120" w:line="360" w:lineRule="auto"/>
        <w:jc w:val="both"/>
        <w:rPr>
          <w:color w:val="000000"/>
          <w:sz w:val="26"/>
          <w:szCs w:val="26"/>
        </w:rPr>
      </w:pPr>
      <w:r>
        <w:rPr>
          <w:color w:val="000000"/>
          <w:sz w:val="26"/>
          <w:szCs w:val="26"/>
        </w:rPr>
        <w:t>Le graphique ci-dessous permet d’illustrer la répartition des titres suivant leur émetteur :</w:t>
      </w:r>
    </w:p>
    <w:p w:rsidR="00CC7576" w:rsidRDefault="004274F6" w:rsidP="009539D5">
      <w:pPr>
        <w:pStyle w:val="Retraitcorpsdetexte2"/>
        <w:spacing w:after="0" w:line="360" w:lineRule="auto"/>
        <w:ind w:left="0"/>
        <w:jc w:val="both"/>
        <w:rPr>
          <w:color w:val="000000"/>
          <w:sz w:val="26"/>
          <w:szCs w:val="26"/>
        </w:rPr>
      </w:pPr>
      <w:r w:rsidRPr="00444632">
        <w:rPr>
          <w:noProof/>
          <w:u w:val="single"/>
        </w:rPr>
        <w:drawing>
          <wp:inline distT="0" distB="0" distL="0" distR="0" wp14:anchorId="12EDEF99" wp14:editId="747379DB">
            <wp:extent cx="5120640" cy="3211373"/>
            <wp:effectExtent l="0" t="0" r="3810" b="825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7576" w:rsidRDefault="00444632" w:rsidP="009539D5">
      <w:pPr>
        <w:pStyle w:val="Retraitcorpsdetexte2"/>
        <w:spacing w:after="0" w:line="360" w:lineRule="auto"/>
        <w:ind w:left="0"/>
        <w:jc w:val="both"/>
        <w:rPr>
          <w:color w:val="000000"/>
          <w:sz w:val="26"/>
          <w:szCs w:val="26"/>
        </w:rPr>
      </w:pPr>
      <w:r>
        <w:rPr>
          <w:color w:val="000000"/>
          <w:sz w:val="26"/>
          <w:szCs w:val="26"/>
        </w:rPr>
        <w:t>On constate ainsi que les titres du Groupe Coris sont plus concentrés sur les émetteurs Etat du Burkina (22%) et Etat de Côte d’Ivoire (21%).</w:t>
      </w:r>
    </w:p>
    <w:p w:rsidR="009F32C2" w:rsidRPr="00AF0371" w:rsidRDefault="009F32C2" w:rsidP="00E42A51">
      <w:pPr>
        <w:spacing w:line="360" w:lineRule="auto"/>
        <w:rPr>
          <w:b/>
          <w:sz w:val="26"/>
          <w:szCs w:val="26"/>
          <w:u w:val="single"/>
        </w:rPr>
      </w:pPr>
    </w:p>
    <w:p w:rsidR="00FD1CB1" w:rsidRPr="00FD55F7" w:rsidRDefault="00007995" w:rsidP="00FD55F7">
      <w:pPr>
        <w:pStyle w:val="Paragraphedeliste"/>
        <w:numPr>
          <w:ilvl w:val="0"/>
          <w:numId w:val="2"/>
        </w:numPr>
        <w:spacing w:line="360" w:lineRule="auto"/>
        <w:outlineLvl w:val="0"/>
        <w:rPr>
          <w:rFonts w:ascii="Times New Roman" w:hAnsi="Times New Roman" w:cs="Times New Roman"/>
          <w:b/>
          <w:sz w:val="26"/>
          <w:szCs w:val="26"/>
          <w:u w:val="single"/>
        </w:rPr>
      </w:pPr>
      <w:bookmarkStart w:id="13" w:name="_Toc79511692"/>
      <w:r>
        <w:rPr>
          <w:rFonts w:ascii="Times New Roman" w:hAnsi="Times New Roman" w:cs="Times New Roman"/>
          <w:b/>
          <w:sz w:val="26"/>
          <w:szCs w:val="26"/>
          <w:u w:val="single"/>
        </w:rPr>
        <w:t>MESURES DE SUIVI DES ENGAGEMENTS</w:t>
      </w:r>
      <w:bookmarkEnd w:id="13"/>
    </w:p>
    <w:p w:rsidR="008A7450" w:rsidRPr="00232614" w:rsidRDefault="008A7450" w:rsidP="008A7450">
      <w:pPr>
        <w:spacing w:line="360" w:lineRule="auto"/>
        <w:jc w:val="both"/>
        <w:rPr>
          <w:color w:val="000000"/>
          <w:sz w:val="26"/>
          <w:szCs w:val="26"/>
        </w:rPr>
      </w:pPr>
      <w:r w:rsidRPr="00232614">
        <w:rPr>
          <w:color w:val="000000"/>
          <w:sz w:val="26"/>
          <w:szCs w:val="26"/>
        </w:rPr>
        <w:t xml:space="preserve">A l’issue de </w:t>
      </w:r>
      <w:r w:rsidR="00232614">
        <w:rPr>
          <w:color w:val="000000"/>
          <w:sz w:val="26"/>
          <w:szCs w:val="26"/>
        </w:rPr>
        <w:t>la</w:t>
      </w:r>
      <w:r w:rsidRPr="00232614">
        <w:rPr>
          <w:color w:val="000000"/>
          <w:sz w:val="26"/>
          <w:szCs w:val="26"/>
        </w:rPr>
        <w:t xml:space="preserve"> révision globale du portefeuille de crédit </w:t>
      </w:r>
      <w:r w:rsidR="00232614">
        <w:rPr>
          <w:color w:val="000000"/>
          <w:sz w:val="26"/>
          <w:szCs w:val="26"/>
        </w:rPr>
        <w:t xml:space="preserve">au </w:t>
      </w:r>
      <w:r w:rsidR="00A31A79">
        <w:rPr>
          <w:color w:val="000000"/>
          <w:sz w:val="26"/>
          <w:szCs w:val="26"/>
        </w:rPr>
        <w:t>30 juin 2021</w:t>
      </w:r>
      <w:r w:rsidR="00232614">
        <w:rPr>
          <w:color w:val="000000"/>
          <w:sz w:val="26"/>
          <w:szCs w:val="26"/>
        </w:rPr>
        <w:t>, l</w:t>
      </w:r>
      <w:r w:rsidRPr="00232614">
        <w:rPr>
          <w:color w:val="000000"/>
          <w:sz w:val="26"/>
          <w:szCs w:val="26"/>
        </w:rPr>
        <w:t xml:space="preserve">es mesures de suivi et de recouvrement des créances en souffrance </w:t>
      </w:r>
      <w:r w:rsidR="008507B9" w:rsidRPr="00232614">
        <w:rPr>
          <w:color w:val="000000"/>
          <w:sz w:val="26"/>
          <w:szCs w:val="26"/>
        </w:rPr>
        <w:t>sont</w:t>
      </w:r>
      <w:r w:rsidRPr="00232614">
        <w:rPr>
          <w:color w:val="000000"/>
          <w:sz w:val="26"/>
          <w:szCs w:val="26"/>
        </w:rPr>
        <w:t xml:space="preserve"> </w:t>
      </w:r>
      <w:r w:rsidR="008507B9" w:rsidRPr="00232614">
        <w:rPr>
          <w:color w:val="000000"/>
          <w:sz w:val="26"/>
          <w:szCs w:val="26"/>
        </w:rPr>
        <w:t xml:space="preserve">à renforcer </w:t>
      </w:r>
      <w:r w:rsidR="00784823">
        <w:rPr>
          <w:color w:val="000000"/>
          <w:sz w:val="26"/>
          <w:szCs w:val="26"/>
        </w:rPr>
        <w:t>de façon général</w:t>
      </w:r>
      <w:r w:rsidR="00BF6715">
        <w:rPr>
          <w:color w:val="000000"/>
          <w:sz w:val="26"/>
          <w:szCs w:val="26"/>
        </w:rPr>
        <w:t>e</w:t>
      </w:r>
      <w:r w:rsidR="00784823">
        <w:rPr>
          <w:color w:val="000000"/>
          <w:sz w:val="26"/>
          <w:szCs w:val="26"/>
        </w:rPr>
        <w:t xml:space="preserve"> </w:t>
      </w:r>
      <w:r w:rsidR="00B042D9">
        <w:rPr>
          <w:color w:val="000000"/>
          <w:sz w:val="26"/>
          <w:szCs w:val="26"/>
        </w:rPr>
        <w:t>à l’échelle de toutes les filiales du Groupe</w:t>
      </w:r>
      <w:r w:rsidR="00784823">
        <w:rPr>
          <w:color w:val="000000"/>
          <w:sz w:val="26"/>
          <w:szCs w:val="26"/>
        </w:rPr>
        <w:t xml:space="preserve"> </w:t>
      </w:r>
      <w:r w:rsidR="008507B9" w:rsidRPr="00232614">
        <w:rPr>
          <w:color w:val="000000"/>
          <w:sz w:val="26"/>
          <w:szCs w:val="26"/>
        </w:rPr>
        <w:t>à</w:t>
      </w:r>
      <w:r w:rsidRPr="00232614">
        <w:rPr>
          <w:color w:val="000000"/>
          <w:sz w:val="26"/>
          <w:szCs w:val="26"/>
        </w:rPr>
        <w:t xml:space="preserve"> travers :</w:t>
      </w:r>
    </w:p>
    <w:p w:rsidR="00232404" w:rsidRPr="00232404" w:rsidRDefault="00232404" w:rsidP="00071526">
      <w:pPr>
        <w:pStyle w:val="Paragraphedeliste"/>
        <w:numPr>
          <w:ilvl w:val="0"/>
          <w:numId w:val="25"/>
        </w:numPr>
        <w:spacing w:after="0" w:line="360"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 xml:space="preserve">une meilleure sélectivité des dossiers à financer </w:t>
      </w:r>
      <w:r w:rsidRPr="00232404">
        <w:rPr>
          <w:rFonts w:ascii="Times New Roman" w:eastAsia="Times New Roman" w:hAnsi="Times New Roman" w:cs="Times New Roman"/>
          <w:sz w:val="26"/>
          <w:szCs w:val="26"/>
          <w:lang w:eastAsia="fr-FR"/>
        </w:rPr>
        <w:t>en phase avec l’appétence au risque de chaque filiale</w:t>
      </w:r>
      <w:r>
        <w:rPr>
          <w:rFonts w:ascii="Times New Roman" w:eastAsia="Times New Roman" w:hAnsi="Times New Roman" w:cs="Times New Roman"/>
          <w:sz w:val="26"/>
          <w:szCs w:val="26"/>
          <w:lang w:eastAsia="fr-FR"/>
        </w:rPr>
        <w:t> ;</w:t>
      </w:r>
    </w:p>
    <w:p w:rsidR="008A7450" w:rsidRPr="00AF0371" w:rsidRDefault="00B85E8F" w:rsidP="00071526">
      <w:pPr>
        <w:pStyle w:val="Paragraphedeliste"/>
        <w:numPr>
          <w:ilvl w:val="0"/>
          <w:numId w:val="25"/>
        </w:numPr>
        <w:spacing w:after="0" w:line="360" w:lineRule="auto"/>
        <w:jc w:val="both"/>
        <w:rPr>
          <w:rFonts w:ascii="Times New Roman" w:eastAsia="Times New Roman" w:hAnsi="Times New Roman" w:cs="Times New Roman"/>
          <w:sz w:val="26"/>
          <w:szCs w:val="26"/>
          <w:lang w:eastAsia="fr-FR"/>
        </w:rPr>
      </w:pPr>
      <w:r w:rsidRPr="00232404">
        <w:rPr>
          <w:rFonts w:ascii="Times New Roman" w:eastAsia="Times New Roman" w:hAnsi="Times New Roman" w:cs="Times New Roman"/>
          <w:sz w:val="26"/>
          <w:szCs w:val="26"/>
          <w:lang w:eastAsia="fr-FR"/>
        </w:rPr>
        <w:t>une plus grande diligence et un suivi plus rapproché des mandatements et domiciliations</w:t>
      </w:r>
      <w:r w:rsidRPr="00AF0371">
        <w:rPr>
          <w:rFonts w:ascii="Times New Roman" w:hAnsi="Times New Roman" w:cs="Times New Roman"/>
          <w:sz w:val="26"/>
          <w:szCs w:val="26"/>
        </w:rPr>
        <w:t xml:space="preserve"> de salaire</w:t>
      </w:r>
      <w:r w:rsidR="00F1116A">
        <w:rPr>
          <w:rFonts w:ascii="Times New Roman" w:hAnsi="Times New Roman" w:cs="Times New Roman"/>
          <w:sz w:val="26"/>
          <w:szCs w:val="26"/>
        </w:rPr>
        <w:t xml:space="preserve"> </w:t>
      </w:r>
      <w:r w:rsidR="008A7450" w:rsidRPr="00AF0371">
        <w:rPr>
          <w:rFonts w:ascii="Times New Roman" w:eastAsia="Times New Roman" w:hAnsi="Times New Roman" w:cs="Times New Roman"/>
          <w:sz w:val="26"/>
          <w:szCs w:val="26"/>
          <w:lang w:eastAsia="fr-FR"/>
        </w:rPr>
        <w:t>;</w:t>
      </w:r>
    </w:p>
    <w:p w:rsidR="008A7450" w:rsidRDefault="00B85E8F" w:rsidP="00071526">
      <w:pPr>
        <w:pStyle w:val="Paragraphedeliste"/>
        <w:numPr>
          <w:ilvl w:val="0"/>
          <w:numId w:val="25"/>
        </w:numPr>
        <w:spacing w:after="0" w:line="360" w:lineRule="auto"/>
        <w:jc w:val="both"/>
        <w:rPr>
          <w:rFonts w:ascii="Times New Roman" w:eastAsia="Times New Roman" w:hAnsi="Times New Roman" w:cs="Times New Roman"/>
          <w:color w:val="000000"/>
          <w:sz w:val="26"/>
          <w:szCs w:val="26"/>
          <w:lang w:eastAsia="fr-FR"/>
        </w:rPr>
      </w:pPr>
      <w:r w:rsidRPr="00AF0371">
        <w:rPr>
          <w:rFonts w:ascii="Times New Roman" w:eastAsia="Times New Roman" w:hAnsi="Times New Roman" w:cs="Times New Roman"/>
          <w:color w:val="000000"/>
          <w:sz w:val="26"/>
          <w:szCs w:val="26"/>
          <w:lang w:eastAsia="fr-FR"/>
        </w:rPr>
        <w:t xml:space="preserve">un maintien de la régularité des </w:t>
      </w:r>
      <w:r w:rsidR="008A7450" w:rsidRPr="00AF0371">
        <w:rPr>
          <w:rFonts w:ascii="Times New Roman" w:eastAsia="Times New Roman" w:hAnsi="Times New Roman" w:cs="Times New Roman"/>
          <w:color w:val="000000"/>
          <w:sz w:val="26"/>
          <w:szCs w:val="26"/>
          <w:lang w:eastAsia="fr-FR"/>
        </w:rPr>
        <w:t>sorties sur le terrain pour mieux s’imprégner des réalités et des difficultés rencontr</w:t>
      </w:r>
      <w:r w:rsidR="00D56F54" w:rsidRPr="00AF0371">
        <w:rPr>
          <w:rFonts w:ascii="Times New Roman" w:eastAsia="Times New Roman" w:hAnsi="Times New Roman" w:cs="Times New Roman"/>
          <w:color w:val="000000"/>
          <w:sz w:val="26"/>
          <w:szCs w:val="26"/>
          <w:lang w:eastAsia="fr-FR"/>
        </w:rPr>
        <w:t>ées</w:t>
      </w:r>
      <w:r w:rsidR="008A7450" w:rsidRPr="00AF0371">
        <w:rPr>
          <w:rFonts w:ascii="Times New Roman" w:eastAsia="Times New Roman" w:hAnsi="Times New Roman" w:cs="Times New Roman"/>
          <w:color w:val="000000"/>
          <w:sz w:val="26"/>
          <w:szCs w:val="26"/>
          <w:lang w:eastAsia="fr-FR"/>
        </w:rPr>
        <w:t xml:space="preserve"> par les clients </w:t>
      </w:r>
      <w:r w:rsidR="00183991" w:rsidRPr="00AF0371">
        <w:rPr>
          <w:rFonts w:ascii="Times New Roman" w:eastAsia="Times New Roman" w:hAnsi="Times New Roman" w:cs="Times New Roman"/>
          <w:color w:val="000000"/>
          <w:sz w:val="26"/>
          <w:szCs w:val="26"/>
          <w:lang w:eastAsia="fr-FR"/>
        </w:rPr>
        <w:t>en vue de mener des actions par</w:t>
      </w:r>
      <w:r w:rsidR="008A7450" w:rsidRPr="00AF0371">
        <w:rPr>
          <w:rFonts w:ascii="Times New Roman" w:eastAsia="Times New Roman" w:hAnsi="Times New Roman" w:cs="Times New Roman"/>
          <w:color w:val="000000"/>
          <w:sz w:val="26"/>
          <w:szCs w:val="26"/>
          <w:lang w:eastAsia="fr-FR"/>
        </w:rPr>
        <w:t xml:space="preserve"> anticipation</w:t>
      </w:r>
      <w:r w:rsidR="00C10F02" w:rsidRPr="00AF0371">
        <w:rPr>
          <w:rFonts w:ascii="Times New Roman" w:eastAsia="Times New Roman" w:hAnsi="Times New Roman" w:cs="Times New Roman"/>
          <w:color w:val="000000"/>
          <w:sz w:val="26"/>
          <w:szCs w:val="26"/>
          <w:lang w:eastAsia="fr-FR"/>
        </w:rPr>
        <w:t> ;</w:t>
      </w:r>
    </w:p>
    <w:p w:rsidR="00BA5888" w:rsidRDefault="00B85E8F" w:rsidP="00071526">
      <w:pPr>
        <w:pStyle w:val="Paragraphedeliste"/>
        <w:numPr>
          <w:ilvl w:val="0"/>
          <w:numId w:val="25"/>
        </w:numPr>
        <w:spacing w:after="0" w:line="360" w:lineRule="auto"/>
        <w:jc w:val="both"/>
        <w:rPr>
          <w:rFonts w:ascii="Times New Roman" w:eastAsia="Times New Roman" w:hAnsi="Times New Roman" w:cs="Times New Roman"/>
          <w:color w:val="000000"/>
          <w:sz w:val="26"/>
          <w:szCs w:val="26"/>
          <w:lang w:eastAsia="fr-FR"/>
        </w:rPr>
      </w:pPr>
      <w:r w:rsidRPr="00AF0371">
        <w:rPr>
          <w:rFonts w:ascii="Times New Roman" w:eastAsia="Times New Roman" w:hAnsi="Times New Roman" w:cs="Times New Roman"/>
          <w:color w:val="000000"/>
          <w:sz w:val="26"/>
          <w:szCs w:val="26"/>
          <w:lang w:eastAsia="fr-FR"/>
        </w:rPr>
        <w:t>une</w:t>
      </w:r>
      <w:r w:rsidR="008507B9">
        <w:rPr>
          <w:rFonts w:ascii="Times New Roman" w:eastAsia="Times New Roman" w:hAnsi="Times New Roman" w:cs="Times New Roman"/>
          <w:color w:val="000000"/>
          <w:sz w:val="26"/>
          <w:szCs w:val="26"/>
          <w:lang w:eastAsia="fr-FR"/>
        </w:rPr>
        <w:t xml:space="preserve"> veille sectorielle permettant d’identifier les secteurs fortement exposés</w:t>
      </w:r>
      <w:r w:rsidR="006E5672">
        <w:rPr>
          <w:rFonts w:ascii="Times New Roman" w:eastAsia="Times New Roman" w:hAnsi="Times New Roman" w:cs="Times New Roman"/>
          <w:color w:val="000000"/>
          <w:sz w:val="26"/>
          <w:szCs w:val="26"/>
          <w:lang w:eastAsia="fr-FR"/>
        </w:rPr>
        <w:t xml:space="preserve"> et impactés par la maladie à coronavirus</w:t>
      </w:r>
      <w:r w:rsidR="008507B9">
        <w:rPr>
          <w:rFonts w:ascii="Times New Roman" w:eastAsia="Times New Roman" w:hAnsi="Times New Roman" w:cs="Times New Roman"/>
          <w:color w:val="000000"/>
          <w:sz w:val="26"/>
          <w:szCs w:val="26"/>
          <w:lang w:eastAsia="fr-FR"/>
        </w:rPr>
        <w:t> ;</w:t>
      </w:r>
    </w:p>
    <w:p w:rsidR="00340FCD" w:rsidRDefault="00BF6715" w:rsidP="00071526">
      <w:pPr>
        <w:pStyle w:val="Paragraphedeliste"/>
        <w:numPr>
          <w:ilvl w:val="0"/>
          <w:numId w:val="25"/>
        </w:numPr>
        <w:spacing w:after="0" w:line="360" w:lineRule="auto"/>
        <w:jc w:val="both"/>
        <w:rPr>
          <w:rFonts w:ascii="Times New Roman" w:eastAsia="Times New Roman" w:hAnsi="Times New Roman" w:cs="Times New Roman"/>
          <w:color w:val="000000"/>
          <w:sz w:val="26"/>
          <w:szCs w:val="26"/>
          <w:lang w:eastAsia="fr-FR"/>
        </w:rPr>
      </w:pPr>
      <w:r>
        <w:rPr>
          <w:rFonts w:ascii="Times New Roman" w:eastAsia="Times New Roman" w:hAnsi="Times New Roman" w:cs="Times New Roman"/>
          <w:color w:val="000000"/>
          <w:sz w:val="26"/>
          <w:szCs w:val="26"/>
          <w:lang w:eastAsia="fr-FR"/>
        </w:rPr>
        <w:t xml:space="preserve">la </w:t>
      </w:r>
      <w:r w:rsidR="00F205B0" w:rsidRPr="00044285">
        <w:rPr>
          <w:rFonts w:ascii="Times New Roman" w:eastAsia="Times New Roman" w:hAnsi="Times New Roman" w:cs="Times New Roman"/>
          <w:color w:val="000000"/>
          <w:sz w:val="26"/>
          <w:szCs w:val="26"/>
          <w:lang w:eastAsia="fr-FR"/>
        </w:rPr>
        <w:t>prise en compte systématique</w:t>
      </w:r>
      <w:r w:rsidR="00340FCD" w:rsidRPr="00044285">
        <w:rPr>
          <w:rFonts w:ascii="Times New Roman" w:eastAsia="Times New Roman" w:hAnsi="Times New Roman" w:cs="Times New Roman"/>
          <w:color w:val="000000"/>
          <w:sz w:val="26"/>
          <w:szCs w:val="26"/>
          <w:lang w:eastAsia="fr-FR"/>
        </w:rPr>
        <w:t xml:space="preserve"> d</w:t>
      </w:r>
      <w:r w:rsidR="00F205B0" w:rsidRPr="00044285">
        <w:rPr>
          <w:rFonts w:ascii="Times New Roman" w:eastAsia="Times New Roman" w:hAnsi="Times New Roman" w:cs="Times New Roman"/>
          <w:color w:val="000000"/>
          <w:sz w:val="26"/>
          <w:szCs w:val="26"/>
          <w:lang w:eastAsia="fr-FR"/>
        </w:rPr>
        <w:t>e l</w:t>
      </w:r>
      <w:r w:rsidR="00340FCD" w:rsidRPr="00044285">
        <w:rPr>
          <w:rFonts w:ascii="Times New Roman" w:eastAsia="Times New Roman" w:hAnsi="Times New Roman" w:cs="Times New Roman"/>
          <w:color w:val="000000"/>
          <w:sz w:val="26"/>
          <w:szCs w:val="26"/>
          <w:lang w:eastAsia="fr-FR"/>
        </w:rPr>
        <w:t>’appétence au risque</w:t>
      </w:r>
      <w:r w:rsidR="00467EA4">
        <w:rPr>
          <w:rFonts w:ascii="Times New Roman" w:eastAsia="Times New Roman" w:hAnsi="Times New Roman" w:cs="Times New Roman"/>
          <w:color w:val="000000"/>
          <w:sz w:val="26"/>
          <w:szCs w:val="26"/>
          <w:lang w:eastAsia="fr-FR"/>
        </w:rPr>
        <w:t xml:space="preserve"> </w:t>
      </w:r>
      <w:r w:rsidR="00044285" w:rsidRPr="00044285">
        <w:rPr>
          <w:rFonts w:ascii="Times New Roman" w:eastAsia="Times New Roman" w:hAnsi="Times New Roman" w:cs="Times New Roman"/>
          <w:color w:val="000000"/>
          <w:sz w:val="26"/>
          <w:szCs w:val="26"/>
          <w:lang w:eastAsia="fr-FR"/>
        </w:rPr>
        <w:t>dans</w:t>
      </w:r>
      <w:r w:rsidR="00346CAE">
        <w:rPr>
          <w:rFonts w:ascii="Times New Roman" w:eastAsia="Times New Roman" w:hAnsi="Times New Roman" w:cs="Times New Roman"/>
          <w:color w:val="000000"/>
          <w:sz w:val="26"/>
          <w:szCs w:val="26"/>
          <w:lang w:eastAsia="fr-FR"/>
        </w:rPr>
        <w:t xml:space="preserve"> toute décision de prise d’engagements </w:t>
      </w:r>
      <w:r w:rsidR="00340FCD" w:rsidRPr="00044285">
        <w:rPr>
          <w:rFonts w:ascii="Times New Roman" w:eastAsia="Times New Roman" w:hAnsi="Times New Roman" w:cs="Times New Roman"/>
          <w:color w:val="000000"/>
          <w:sz w:val="26"/>
          <w:szCs w:val="26"/>
          <w:lang w:eastAsia="fr-FR"/>
        </w:rPr>
        <w:t>;</w:t>
      </w:r>
    </w:p>
    <w:p w:rsidR="000E4B13" w:rsidRPr="00044285" w:rsidRDefault="000E4B13" w:rsidP="00071526">
      <w:pPr>
        <w:pStyle w:val="Paragraphedeliste"/>
        <w:numPr>
          <w:ilvl w:val="0"/>
          <w:numId w:val="25"/>
        </w:numPr>
        <w:spacing w:after="0" w:line="360" w:lineRule="auto"/>
        <w:jc w:val="both"/>
        <w:rPr>
          <w:rFonts w:ascii="Times New Roman" w:eastAsia="Times New Roman" w:hAnsi="Times New Roman" w:cs="Times New Roman"/>
          <w:color w:val="000000"/>
          <w:sz w:val="26"/>
          <w:szCs w:val="26"/>
          <w:lang w:eastAsia="fr-FR"/>
        </w:rPr>
      </w:pPr>
      <w:r>
        <w:rPr>
          <w:rFonts w:ascii="Times New Roman" w:eastAsia="Times New Roman" w:hAnsi="Times New Roman" w:cs="Times New Roman"/>
          <w:color w:val="000000"/>
          <w:sz w:val="26"/>
          <w:szCs w:val="26"/>
          <w:lang w:eastAsia="fr-FR"/>
        </w:rPr>
        <w:t>la</w:t>
      </w:r>
      <w:r w:rsidR="00A378ED">
        <w:rPr>
          <w:rFonts w:ascii="Times New Roman" w:eastAsia="Times New Roman" w:hAnsi="Times New Roman" w:cs="Times New Roman"/>
          <w:color w:val="000000"/>
          <w:sz w:val="26"/>
          <w:szCs w:val="26"/>
          <w:lang w:eastAsia="fr-FR"/>
        </w:rPr>
        <w:t xml:space="preserve"> diversification du portefeuille et la</w:t>
      </w:r>
      <w:r>
        <w:rPr>
          <w:rFonts w:ascii="Times New Roman" w:eastAsia="Times New Roman" w:hAnsi="Times New Roman" w:cs="Times New Roman"/>
          <w:color w:val="000000"/>
          <w:sz w:val="26"/>
          <w:szCs w:val="26"/>
          <w:lang w:eastAsia="fr-FR"/>
        </w:rPr>
        <w:t xml:space="preserve"> dilution des concentrations importantes ;</w:t>
      </w:r>
    </w:p>
    <w:p w:rsidR="00F205B0" w:rsidRDefault="00BF6715" w:rsidP="00071526">
      <w:pPr>
        <w:pStyle w:val="Paragraphedeliste"/>
        <w:numPr>
          <w:ilvl w:val="0"/>
          <w:numId w:val="25"/>
        </w:numPr>
        <w:spacing w:after="0" w:line="360" w:lineRule="auto"/>
        <w:jc w:val="both"/>
        <w:rPr>
          <w:rFonts w:ascii="Times New Roman" w:eastAsia="Times New Roman" w:hAnsi="Times New Roman" w:cs="Times New Roman"/>
          <w:color w:val="000000"/>
          <w:sz w:val="26"/>
          <w:szCs w:val="26"/>
          <w:lang w:eastAsia="fr-FR"/>
        </w:rPr>
      </w:pPr>
      <w:r>
        <w:rPr>
          <w:rFonts w:ascii="Times New Roman" w:eastAsia="Times New Roman" w:hAnsi="Times New Roman" w:cs="Times New Roman"/>
          <w:color w:val="000000"/>
          <w:sz w:val="26"/>
          <w:szCs w:val="26"/>
          <w:lang w:eastAsia="fr-FR"/>
        </w:rPr>
        <w:t>l’amélioration du dispositif d’identification</w:t>
      </w:r>
      <w:r w:rsidR="00F205B0">
        <w:rPr>
          <w:rFonts w:ascii="Times New Roman" w:eastAsia="Times New Roman" w:hAnsi="Times New Roman" w:cs="Times New Roman"/>
          <w:color w:val="000000"/>
          <w:sz w:val="26"/>
          <w:szCs w:val="26"/>
          <w:lang w:eastAsia="fr-FR"/>
        </w:rPr>
        <w:t xml:space="preserve"> </w:t>
      </w:r>
      <w:r>
        <w:rPr>
          <w:rFonts w:ascii="Times New Roman" w:eastAsia="Times New Roman" w:hAnsi="Times New Roman" w:cs="Times New Roman"/>
          <w:color w:val="000000"/>
          <w:sz w:val="26"/>
          <w:szCs w:val="26"/>
          <w:lang w:eastAsia="fr-FR"/>
        </w:rPr>
        <w:t>des</w:t>
      </w:r>
      <w:r w:rsidR="00F205B0">
        <w:rPr>
          <w:rFonts w:ascii="Times New Roman" w:eastAsia="Times New Roman" w:hAnsi="Times New Roman" w:cs="Times New Roman"/>
          <w:color w:val="000000"/>
          <w:sz w:val="26"/>
          <w:szCs w:val="26"/>
          <w:lang w:eastAsia="fr-FR"/>
        </w:rPr>
        <w:t xml:space="preserve"> groupes de clients liés et les grands risques ;</w:t>
      </w:r>
    </w:p>
    <w:p w:rsidR="00C10F02" w:rsidRPr="00AF0371" w:rsidRDefault="00232614" w:rsidP="00071526">
      <w:pPr>
        <w:pStyle w:val="Paragraphedeliste"/>
        <w:numPr>
          <w:ilvl w:val="0"/>
          <w:numId w:val="25"/>
        </w:numPr>
        <w:spacing w:after="0" w:line="360" w:lineRule="auto"/>
        <w:jc w:val="both"/>
        <w:rPr>
          <w:rFonts w:ascii="Times New Roman" w:eastAsia="Times New Roman" w:hAnsi="Times New Roman" w:cs="Times New Roman"/>
          <w:color w:val="000000"/>
          <w:sz w:val="26"/>
          <w:szCs w:val="26"/>
          <w:lang w:eastAsia="fr-FR"/>
        </w:rPr>
      </w:pPr>
      <w:r>
        <w:rPr>
          <w:rFonts w:ascii="Times New Roman" w:eastAsia="Times New Roman" w:hAnsi="Times New Roman" w:cs="Times New Roman"/>
          <w:color w:val="000000"/>
          <w:sz w:val="26"/>
          <w:szCs w:val="26"/>
          <w:lang w:eastAsia="fr-FR"/>
        </w:rPr>
        <w:t xml:space="preserve">la </w:t>
      </w:r>
      <w:r w:rsidR="00340FCD">
        <w:rPr>
          <w:rFonts w:ascii="Times New Roman" w:eastAsia="Times New Roman" w:hAnsi="Times New Roman" w:cs="Times New Roman"/>
          <w:color w:val="000000"/>
          <w:sz w:val="26"/>
          <w:szCs w:val="26"/>
          <w:lang w:eastAsia="fr-FR"/>
        </w:rPr>
        <w:t xml:space="preserve">mise en place d’un dispositif de suivi et d’évaluation de la performance des </w:t>
      </w:r>
      <w:r w:rsidR="00D154BD">
        <w:rPr>
          <w:rFonts w:ascii="Times New Roman" w:eastAsia="Times New Roman" w:hAnsi="Times New Roman" w:cs="Times New Roman"/>
          <w:color w:val="000000"/>
          <w:sz w:val="26"/>
          <w:szCs w:val="26"/>
          <w:lang w:eastAsia="fr-FR"/>
        </w:rPr>
        <w:t>auxiliaires</w:t>
      </w:r>
      <w:r w:rsidR="00340FCD">
        <w:rPr>
          <w:rFonts w:ascii="Times New Roman" w:eastAsia="Times New Roman" w:hAnsi="Times New Roman" w:cs="Times New Roman"/>
          <w:color w:val="000000"/>
          <w:sz w:val="26"/>
          <w:szCs w:val="26"/>
          <w:lang w:eastAsia="fr-FR"/>
        </w:rPr>
        <w:t xml:space="preserve"> de justice.</w:t>
      </w:r>
    </w:p>
    <w:p w:rsidR="00346183" w:rsidRDefault="00346183" w:rsidP="00346183"/>
    <w:p w:rsidR="000E4B13" w:rsidRPr="000E4B13" w:rsidRDefault="00002840" w:rsidP="000E4B13">
      <w:pPr>
        <w:pStyle w:val="Paragraphedeliste"/>
        <w:numPr>
          <w:ilvl w:val="0"/>
          <w:numId w:val="2"/>
        </w:numPr>
        <w:spacing w:line="360" w:lineRule="auto"/>
        <w:outlineLvl w:val="0"/>
        <w:rPr>
          <w:rFonts w:ascii="Times New Roman" w:hAnsi="Times New Roman" w:cs="Times New Roman"/>
          <w:b/>
          <w:sz w:val="26"/>
          <w:szCs w:val="26"/>
          <w:u w:val="single"/>
        </w:rPr>
      </w:pPr>
      <w:bookmarkStart w:id="14" w:name="_Toc46403654"/>
      <w:bookmarkStart w:id="15" w:name="_Toc79511693"/>
      <w:r>
        <w:rPr>
          <w:rFonts w:ascii="Times New Roman" w:hAnsi="Times New Roman" w:cs="Times New Roman"/>
          <w:b/>
          <w:sz w:val="26"/>
          <w:szCs w:val="26"/>
          <w:u w:val="single"/>
        </w:rPr>
        <w:t>LES RATIOS PRUDENTIELS AU 30</w:t>
      </w:r>
      <w:r w:rsidR="00653606">
        <w:rPr>
          <w:rFonts w:ascii="Times New Roman" w:hAnsi="Times New Roman" w:cs="Times New Roman"/>
          <w:b/>
          <w:sz w:val="26"/>
          <w:szCs w:val="26"/>
          <w:u w:val="single"/>
        </w:rPr>
        <w:t xml:space="preserve"> </w:t>
      </w:r>
      <w:r>
        <w:rPr>
          <w:rFonts w:ascii="Times New Roman" w:hAnsi="Times New Roman" w:cs="Times New Roman"/>
          <w:b/>
          <w:sz w:val="26"/>
          <w:szCs w:val="26"/>
          <w:u w:val="single"/>
        </w:rPr>
        <w:t>JUIN</w:t>
      </w:r>
      <w:r w:rsidR="00653606">
        <w:rPr>
          <w:rFonts w:ascii="Times New Roman" w:hAnsi="Times New Roman" w:cs="Times New Roman"/>
          <w:b/>
          <w:sz w:val="26"/>
          <w:szCs w:val="26"/>
          <w:u w:val="single"/>
        </w:rPr>
        <w:t xml:space="preserve"> </w:t>
      </w:r>
      <w:r w:rsidR="000E4B13" w:rsidRPr="000E4B13">
        <w:rPr>
          <w:rFonts w:ascii="Times New Roman" w:hAnsi="Times New Roman" w:cs="Times New Roman"/>
          <w:b/>
          <w:sz w:val="26"/>
          <w:szCs w:val="26"/>
          <w:u w:val="single"/>
        </w:rPr>
        <w:t>202</w:t>
      </w:r>
      <w:bookmarkEnd w:id="14"/>
      <w:r>
        <w:rPr>
          <w:rFonts w:ascii="Times New Roman" w:hAnsi="Times New Roman" w:cs="Times New Roman"/>
          <w:b/>
          <w:sz w:val="26"/>
          <w:szCs w:val="26"/>
          <w:u w:val="single"/>
        </w:rPr>
        <w:t>1</w:t>
      </w:r>
      <w:bookmarkEnd w:id="15"/>
    </w:p>
    <w:p w:rsidR="000E4B13" w:rsidRPr="000E4B13" w:rsidRDefault="00E3744F" w:rsidP="000E4B13">
      <w:pPr>
        <w:spacing w:line="360" w:lineRule="auto"/>
        <w:jc w:val="both"/>
        <w:rPr>
          <w:color w:val="000000"/>
          <w:sz w:val="26"/>
          <w:szCs w:val="26"/>
        </w:rPr>
      </w:pPr>
      <w:r>
        <w:rPr>
          <w:color w:val="000000"/>
          <w:sz w:val="26"/>
          <w:szCs w:val="26"/>
        </w:rPr>
        <w:t>Au 30</w:t>
      </w:r>
      <w:r w:rsidR="000E4B13" w:rsidRPr="000E4B13">
        <w:rPr>
          <w:color w:val="000000"/>
          <w:sz w:val="26"/>
          <w:szCs w:val="26"/>
        </w:rPr>
        <w:t xml:space="preserve"> </w:t>
      </w:r>
      <w:r>
        <w:rPr>
          <w:color w:val="000000"/>
          <w:sz w:val="26"/>
          <w:szCs w:val="26"/>
        </w:rPr>
        <w:t>juin 2021</w:t>
      </w:r>
      <w:r w:rsidR="000E4B13" w:rsidRPr="000E4B13">
        <w:rPr>
          <w:color w:val="000000"/>
          <w:sz w:val="26"/>
          <w:szCs w:val="26"/>
        </w:rPr>
        <w:t xml:space="preserve">, </w:t>
      </w:r>
      <w:r w:rsidR="000E4B13" w:rsidRPr="004B39E3">
        <w:rPr>
          <w:color w:val="000000"/>
          <w:sz w:val="26"/>
          <w:szCs w:val="26"/>
        </w:rPr>
        <w:t>Coris Holding</w:t>
      </w:r>
      <w:r w:rsidR="000E4B13" w:rsidRPr="000E4B13">
        <w:rPr>
          <w:color w:val="000000"/>
          <w:sz w:val="26"/>
          <w:szCs w:val="26"/>
        </w:rPr>
        <w:t xml:space="preserve"> respecte tous les ratios prudentiels.</w:t>
      </w:r>
    </w:p>
    <w:p w:rsidR="000E4B13" w:rsidRPr="000E4B13" w:rsidRDefault="000E4B13" w:rsidP="000E4B13">
      <w:pPr>
        <w:spacing w:line="360" w:lineRule="auto"/>
        <w:jc w:val="both"/>
        <w:rPr>
          <w:color w:val="000000"/>
          <w:sz w:val="26"/>
          <w:szCs w:val="26"/>
        </w:rPr>
      </w:pPr>
      <w:r w:rsidRPr="000E4B13">
        <w:rPr>
          <w:color w:val="000000"/>
          <w:sz w:val="26"/>
          <w:szCs w:val="26"/>
        </w:rPr>
        <w:t>Ces ratios se présentent ainsi :</w:t>
      </w:r>
    </w:p>
    <w:p w:rsidR="00072868" w:rsidRDefault="00072868" w:rsidP="00151B45">
      <w:pPr>
        <w:rPr>
          <w:color w:val="1F497D"/>
          <w:sz w:val="22"/>
          <w:szCs w:val="22"/>
        </w:rPr>
      </w:pPr>
    </w:p>
    <w:tbl>
      <w:tblPr>
        <w:tblW w:w="5011" w:type="pct"/>
        <w:tblCellMar>
          <w:left w:w="0" w:type="dxa"/>
          <w:right w:w="0" w:type="dxa"/>
        </w:tblCellMar>
        <w:tblLook w:val="04A0" w:firstRow="1" w:lastRow="0" w:firstColumn="1" w:lastColumn="0" w:noHBand="0" w:noVBand="1"/>
      </w:tblPr>
      <w:tblGrid>
        <w:gridCol w:w="3495"/>
        <w:gridCol w:w="1052"/>
        <w:gridCol w:w="1161"/>
        <w:gridCol w:w="852"/>
        <w:gridCol w:w="852"/>
        <w:gridCol w:w="852"/>
        <w:gridCol w:w="1519"/>
      </w:tblGrid>
      <w:tr w:rsidR="00072868" w:rsidTr="0049216F">
        <w:trPr>
          <w:trHeight w:val="788"/>
        </w:trPr>
        <w:tc>
          <w:tcPr>
            <w:tcW w:w="1775" w:type="pct"/>
            <w:tcBorders>
              <w:top w:val="single" w:sz="8" w:space="0" w:color="auto"/>
              <w:left w:val="single" w:sz="8" w:space="0" w:color="FFFFFF"/>
              <w:bottom w:val="single" w:sz="8" w:space="0" w:color="auto"/>
              <w:right w:val="single" w:sz="8" w:space="0" w:color="FFFFFF"/>
            </w:tcBorders>
            <w:shd w:val="clear" w:color="auto" w:fill="002060"/>
            <w:tcMar>
              <w:top w:w="0" w:type="dxa"/>
              <w:left w:w="70" w:type="dxa"/>
              <w:bottom w:w="0" w:type="dxa"/>
              <w:right w:w="70" w:type="dxa"/>
            </w:tcMar>
            <w:vAlign w:val="center"/>
            <w:hideMark/>
          </w:tcPr>
          <w:p w:rsidR="00072868" w:rsidRDefault="00072868">
            <w:pPr>
              <w:rPr>
                <w:rFonts w:ascii="Book Antiqua" w:hAnsi="Book Antiqua"/>
                <w:b/>
                <w:bCs/>
                <w:color w:val="FFFFFF"/>
                <w:sz w:val="20"/>
                <w:szCs w:val="20"/>
              </w:rPr>
            </w:pPr>
            <w:r>
              <w:rPr>
                <w:rFonts w:ascii="Book Antiqua" w:hAnsi="Book Antiqua"/>
                <w:b/>
                <w:bCs/>
                <w:color w:val="FFFFFF"/>
                <w:sz w:val="20"/>
                <w:szCs w:val="20"/>
              </w:rPr>
              <w:t>Liste des normes prudentielles</w:t>
            </w:r>
          </w:p>
        </w:tc>
        <w:tc>
          <w:tcPr>
            <w:tcW w:w="549" w:type="pct"/>
            <w:tcBorders>
              <w:top w:val="single" w:sz="8" w:space="0" w:color="auto"/>
              <w:left w:val="nil"/>
              <w:bottom w:val="single" w:sz="8" w:space="0" w:color="auto"/>
              <w:right w:val="single" w:sz="8" w:space="0" w:color="FFFFFF"/>
            </w:tcBorders>
            <w:shd w:val="clear" w:color="auto" w:fill="002060"/>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Référence</w:t>
            </w:r>
          </w:p>
        </w:tc>
        <w:tc>
          <w:tcPr>
            <w:tcW w:w="593" w:type="pct"/>
            <w:tcBorders>
              <w:top w:val="single" w:sz="8" w:space="0" w:color="auto"/>
              <w:left w:val="nil"/>
              <w:bottom w:val="single" w:sz="8" w:space="0" w:color="auto"/>
              <w:right w:val="single" w:sz="8" w:space="0" w:color="FFFFFF"/>
            </w:tcBorders>
            <w:shd w:val="clear" w:color="auto" w:fill="002060"/>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Niveau à respecter 2021</w:t>
            </w:r>
          </w:p>
        </w:tc>
        <w:tc>
          <w:tcPr>
            <w:tcW w:w="436" w:type="pct"/>
            <w:tcBorders>
              <w:top w:val="single" w:sz="8" w:space="0" w:color="auto"/>
              <w:left w:val="nil"/>
              <w:bottom w:val="single" w:sz="8" w:space="0" w:color="auto"/>
              <w:right w:val="single" w:sz="8" w:space="0" w:color="FFFFFF"/>
            </w:tcBorders>
            <w:shd w:val="clear" w:color="auto" w:fill="002060"/>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Niveau observé</w:t>
            </w:r>
            <w:r>
              <w:rPr>
                <w:rFonts w:ascii="Book Antiqua" w:hAnsi="Book Antiqua"/>
                <w:b/>
                <w:bCs/>
                <w:color w:val="FFFFFF"/>
                <w:sz w:val="20"/>
                <w:szCs w:val="20"/>
              </w:rPr>
              <w:br/>
              <w:t>06/2020</w:t>
            </w:r>
          </w:p>
        </w:tc>
        <w:tc>
          <w:tcPr>
            <w:tcW w:w="436" w:type="pct"/>
            <w:tcBorders>
              <w:top w:val="single" w:sz="8" w:space="0" w:color="auto"/>
              <w:left w:val="nil"/>
              <w:bottom w:val="single" w:sz="8" w:space="0" w:color="auto"/>
              <w:right w:val="single" w:sz="8" w:space="0" w:color="FFFFFF"/>
            </w:tcBorders>
            <w:shd w:val="clear" w:color="auto" w:fill="002060"/>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Niveau observé</w:t>
            </w:r>
            <w:r>
              <w:rPr>
                <w:rFonts w:ascii="Book Antiqua" w:hAnsi="Book Antiqua"/>
                <w:b/>
                <w:bCs/>
                <w:color w:val="FFFFFF"/>
                <w:sz w:val="20"/>
                <w:szCs w:val="20"/>
              </w:rPr>
              <w:br/>
              <w:t>12/2020</w:t>
            </w:r>
          </w:p>
        </w:tc>
        <w:tc>
          <w:tcPr>
            <w:tcW w:w="436" w:type="pct"/>
            <w:tcBorders>
              <w:top w:val="single" w:sz="8" w:space="0" w:color="auto"/>
              <w:left w:val="nil"/>
              <w:bottom w:val="single" w:sz="8" w:space="0" w:color="auto"/>
              <w:right w:val="single" w:sz="8" w:space="0" w:color="FFFFFF"/>
            </w:tcBorders>
            <w:shd w:val="clear" w:color="auto" w:fill="002060"/>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Niveau observé</w:t>
            </w:r>
            <w:r>
              <w:rPr>
                <w:rFonts w:ascii="Book Antiqua" w:hAnsi="Book Antiqua"/>
                <w:b/>
                <w:bCs/>
                <w:color w:val="FFFFFF"/>
                <w:sz w:val="20"/>
                <w:szCs w:val="20"/>
              </w:rPr>
              <w:br/>
              <w:t>06/2021</w:t>
            </w:r>
          </w:p>
        </w:tc>
        <w:tc>
          <w:tcPr>
            <w:tcW w:w="774" w:type="pct"/>
            <w:tcBorders>
              <w:top w:val="single" w:sz="8" w:space="0" w:color="auto"/>
              <w:left w:val="nil"/>
              <w:bottom w:val="single" w:sz="8" w:space="0" w:color="auto"/>
              <w:right w:val="single" w:sz="8" w:space="0" w:color="FFFFFF"/>
            </w:tcBorders>
            <w:shd w:val="clear" w:color="auto" w:fill="002060"/>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Situation de l'établissement</w:t>
            </w:r>
          </w:p>
        </w:tc>
      </w:tr>
      <w:tr w:rsidR="00072868" w:rsidTr="0049216F">
        <w:trPr>
          <w:trHeight w:val="263"/>
        </w:trPr>
        <w:tc>
          <w:tcPr>
            <w:tcW w:w="1775" w:type="pct"/>
            <w:tcBorders>
              <w:top w:val="nil"/>
              <w:left w:val="nil"/>
              <w:bottom w:val="nil"/>
              <w:right w:val="single" w:sz="8" w:space="0" w:color="000000"/>
            </w:tcBorders>
            <w:shd w:val="clear" w:color="auto" w:fill="D9D9D9"/>
            <w:tcMar>
              <w:top w:w="0" w:type="dxa"/>
              <w:left w:w="70" w:type="dxa"/>
              <w:bottom w:w="0" w:type="dxa"/>
              <w:right w:w="70" w:type="dxa"/>
            </w:tcMar>
            <w:vAlign w:val="center"/>
            <w:hideMark/>
          </w:tcPr>
          <w:p w:rsidR="00072868" w:rsidRDefault="00072868">
            <w:pPr>
              <w:rPr>
                <w:rFonts w:ascii="Book Antiqua" w:hAnsi="Book Antiqua"/>
                <w:b/>
                <w:bCs/>
                <w:sz w:val="20"/>
                <w:szCs w:val="20"/>
              </w:rPr>
            </w:pPr>
            <w:r>
              <w:rPr>
                <w:rFonts w:ascii="Book Antiqua" w:hAnsi="Book Antiqua"/>
                <w:b/>
                <w:bCs/>
                <w:color w:val="000000"/>
                <w:sz w:val="20"/>
                <w:szCs w:val="20"/>
              </w:rPr>
              <w:t>A. Normes de solvabilité</w:t>
            </w:r>
          </w:p>
        </w:tc>
        <w:tc>
          <w:tcPr>
            <w:tcW w:w="549" w:type="pct"/>
            <w:tcBorders>
              <w:top w:val="nil"/>
              <w:left w:val="nil"/>
              <w:bottom w:val="nil"/>
              <w:right w:val="single" w:sz="8" w:space="0" w:color="000000"/>
            </w:tcBorders>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593"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774"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r>
      <w:tr w:rsidR="00072868" w:rsidTr="0049216F">
        <w:trPr>
          <w:trHeight w:val="263"/>
        </w:trPr>
        <w:tc>
          <w:tcPr>
            <w:tcW w:w="1775" w:type="pct"/>
            <w:tcBorders>
              <w:top w:val="single" w:sz="8" w:space="0" w:color="000000"/>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Ratio de fonds propres CET 1 (%)</w:t>
            </w:r>
          </w:p>
        </w:tc>
        <w:tc>
          <w:tcPr>
            <w:tcW w:w="549" w:type="pct"/>
            <w:tcBorders>
              <w:top w:val="single" w:sz="8" w:space="0" w:color="000000"/>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EP02</w:t>
            </w:r>
          </w:p>
        </w:tc>
        <w:tc>
          <w:tcPr>
            <w:tcW w:w="593" w:type="pct"/>
            <w:tcBorders>
              <w:top w:val="single" w:sz="8" w:space="0" w:color="000000"/>
              <w:left w:val="nil"/>
              <w:bottom w:val="single" w:sz="8" w:space="0" w:color="FFFFFF"/>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&gt;= 6,875%</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11,45%</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10,68%</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11,43%</w:t>
            </w:r>
          </w:p>
        </w:tc>
        <w:tc>
          <w:tcPr>
            <w:tcW w:w="774"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263"/>
        </w:trPr>
        <w:tc>
          <w:tcPr>
            <w:tcW w:w="1775" w:type="pct"/>
            <w:tcBorders>
              <w:top w:val="nil"/>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Ratio de fonds propres de base T1 (%)</w:t>
            </w:r>
          </w:p>
        </w:tc>
        <w:tc>
          <w:tcPr>
            <w:tcW w:w="549" w:type="pct"/>
            <w:tcBorders>
              <w:top w:val="nil"/>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EP02</w:t>
            </w:r>
          </w:p>
        </w:tc>
        <w:tc>
          <w:tcPr>
            <w:tcW w:w="593" w:type="pct"/>
            <w:tcBorders>
              <w:top w:val="nil"/>
              <w:left w:val="nil"/>
              <w:bottom w:val="single" w:sz="8" w:space="0" w:color="FFFFFF"/>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&gt;= 7,875%</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11,86%</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11,04%</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11,76%</w:t>
            </w:r>
          </w:p>
        </w:tc>
        <w:tc>
          <w:tcPr>
            <w:tcW w:w="774"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263"/>
        </w:trPr>
        <w:tc>
          <w:tcPr>
            <w:tcW w:w="1775" w:type="pct"/>
            <w:tcBorders>
              <w:top w:val="nil"/>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Ratio de solvabilité total (%)</w:t>
            </w:r>
          </w:p>
        </w:tc>
        <w:tc>
          <w:tcPr>
            <w:tcW w:w="549" w:type="pct"/>
            <w:tcBorders>
              <w:top w:val="nil"/>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EP02</w:t>
            </w:r>
          </w:p>
        </w:tc>
        <w:tc>
          <w:tcPr>
            <w:tcW w:w="593" w:type="pct"/>
            <w:tcBorders>
              <w:top w:val="nil"/>
              <w:left w:val="nil"/>
              <w:bottom w:val="single" w:sz="8" w:space="0" w:color="000000"/>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&gt;= 10,375%</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12,77%</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11,92%</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12,59%</w:t>
            </w:r>
          </w:p>
        </w:tc>
        <w:tc>
          <w:tcPr>
            <w:tcW w:w="774"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263"/>
        </w:trPr>
        <w:tc>
          <w:tcPr>
            <w:tcW w:w="1775" w:type="pct"/>
            <w:tcBorders>
              <w:top w:val="nil"/>
              <w:left w:val="nil"/>
              <w:bottom w:val="nil"/>
              <w:right w:val="single" w:sz="8" w:space="0" w:color="000000"/>
            </w:tcBorders>
            <w:shd w:val="clear" w:color="auto" w:fill="D9D9D9"/>
            <w:tcMar>
              <w:top w:w="0" w:type="dxa"/>
              <w:left w:w="70" w:type="dxa"/>
              <w:bottom w:w="0" w:type="dxa"/>
              <w:right w:w="70" w:type="dxa"/>
            </w:tcMar>
            <w:vAlign w:val="center"/>
            <w:hideMark/>
          </w:tcPr>
          <w:p w:rsidR="00072868" w:rsidRDefault="00072868">
            <w:pPr>
              <w:rPr>
                <w:rFonts w:ascii="Book Antiqua" w:hAnsi="Book Antiqua"/>
                <w:b/>
                <w:bCs/>
                <w:sz w:val="20"/>
                <w:szCs w:val="20"/>
              </w:rPr>
            </w:pPr>
            <w:r>
              <w:rPr>
                <w:rFonts w:ascii="Book Antiqua" w:hAnsi="Book Antiqua"/>
                <w:b/>
                <w:bCs/>
                <w:color w:val="000000"/>
                <w:sz w:val="20"/>
                <w:szCs w:val="20"/>
              </w:rPr>
              <w:t>B. Norme de division des risques</w:t>
            </w:r>
          </w:p>
        </w:tc>
        <w:tc>
          <w:tcPr>
            <w:tcW w:w="549" w:type="pct"/>
            <w:tcBorders>
              <w:top w:val="nil"/>
              <w:left w:val="nil"/>
              <w:bottom w:val="nil"/>
              <w:right w:val="single" w:sz="8" w:space="0" w:color="000000"/>
            </w:tcBorders>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593"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774"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r>
      <w:tr w:rsidR="00072868" w:rsidTr="0049216F">
        <w:trPr>
          <w:trHeight w:val="263"/>
        </w:trPr>
        <w:tc>
          <w:tcPr>
            <w:tcW w:w="1775" w:type="pct"/>
            <w:tcBorders>
              <w:top w:val="single" w:sz="8" w:space="0" w:color="000000"/>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Norme de division des risques</w:t>
            </w:r>
          </w:p>
        </w:tc>
        <w:tc>
          <w:tcPr>
            <w:tcW w:w="549" w:type="pct"/>
            <w:tcBorders>
              <w:top w:val="single" w:sz="8" w:space="0" w:color="000000"/>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EP29</w:t>
            </w:r>
          </w:p>
        </w:tc>
        <w:tc>
          <w:tcPr>
            <w:tcW w:w="593" w:type="pct"/>
            <w:tcBorders>
              <w:top w:val="single" w:sz="8" w:space="0" w:color="000000"/>
              <w:left w:val="nil"/>
              <w:bottom w:val="single" w:sz="8" w:space="0" w:color="000000"/>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&lt;= 45%</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18,65%</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27,69%</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34,38%</w:t>
            </w:r>
          </w:p>
        </w:tc>
        <w:tc>
          <w:tcPr>
            <w:tcW w:w="774"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263"/>
        </w:trPr>
        <w:tc>
          <w:tcPr>
            <w:tcW w:w="1775" w:type="pct"/>
            <w:tcBorders>
              <w:top w:val="nil"/>
              <w:left w:val="nil"/>
              <w:bottom w:val="nil"/>
              <w:right w:val="single" w:sz="8" w:space="0" w:color="000000"/>
            </w:tcBorders>
            <w:shd w:val="clear" w:color="auto" w:fill="D9D9D9"/>
            <w:tcMar>
              <w:top w:w="0" w:type="dxa"/>
              <w:left w:w="70" w:type="dxa"/>
              <w:bottom w:w="0" w:type="dxa"/>
              <w:right w:w="70" w:type="dxa"/>
            </w:tcMar>
            <w:vAlign w:val="center"/>
            <w:hideMark/>
          </w:tcPr>
          <w:p w:rsidR="00072868" w:rsidRDefault="00072868">
            <w:pPr>
              <w:rPr>
                <w:rFonts w:ascii="Book Antiqua" w:hAnsi="Book Antiqua"/>
                <w:b/>
                <w:bCs/>
                <w:sz w:val="20"/>
                <w:szCs w:val="20"/>
              </w:rPr>
            </w:pPr>
            <w:r>
              <w:rPr>
                <w:rFonts w:ascii="Book Antiqua" w:hAnsi="Book Antiqua"/>
                <w:b/>
                <w:bCs/>
                <w:color w:val="000000"/>
                <w:sz w:val="20"/>
                <w:szCs w:val="20"/>
              </w:rPr>
              <w:t>C. Ratio de levier</w:t>
            </w:r>
          </w:p>
        </w:tc>
        <w:tc>
          <w:tcPr>
            <w:tcW w:w="549" w:type="pct"/>
            <w:tcBorders>
              <w:top w:val="nil"/>
              <w:left w:val="nil"/>
              <w:bottom w:val="nil"/>
              <w:right w:val="single" w:sz="8" w:space="0" w:color="000000"/>
            </w:tcBorders>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593"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774"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r>
      <w:tr w:rsidR="00072868" w:rsidTr="0049216F">
        <w:trPr>
          <w:trHeight w:val="263"/>
        </w:trPr>
        <w:tc>
          <w:tcPr>
            <w:tcW w:w="1775" w:type="pct"/>
            <w:tcBorders>
              <w:top w:val="single" w:sz="8" w:space="0" w:color="000000"/>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Ratio de levier</w:t>
            </w:r>
          </w:p>
        </w:tc>
        <w:tc>
          <w:tcPr>
            <w:tcW w:w="549" w:type="pct"/>
            <w:tcBorders>
              <w:top w:val="single" w:sz="8" w:space="0" w:color="000000"/>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EP33</w:t>
            </w:r>
          </w:p>
        </w:tc>
        <w:tc>
          <w:tcPr>
            <w:tcW w:w="593" w:type="pct"/>
            <w:tcBorders>
              <w:top w:val="single" w:sz="8" w:space="0" w:color="000000"/>
              <w:left w:val="nil"/>
              <w:bottom w:val="single" w:sz="8" w:space="0" w:color="000000"/>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&gt;= 3%</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5,30%</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4,59%</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4,83%</w:t>
            </w:r>
          </w:p>
        </w:tc>
        <w:tc>
          <w:tcPr>
            <w:tcW w:w="774"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263"/>
        </w:trPr>
        <w:tc>
          <w:tcPr>
            <w:tcW w:w="1775" w:type="pct"/>
            <w:tcBorders>
              <w:top w:val="nil"/>
              <w:left w:val="nil"/>
              <w:bottom w:val="nil"/>
              <w:right w:val="single" w:sz="8" w:space="0" w:color="000000"/>
            </w:tcBorders>
            <w:shd w:val="clear" w:color="auto" w:fill="D9D9D9"/>
            <w:tcMar>
              <w:top w:w="0" w:type="dxa"/>
              <w:left w:w="70" w:type="dxa"/>
              <w:bottom w:w="0" w:type="dxa"/>
              <w:right w:w="70" w:type="dxa"/>
            </w:tcMar>
            <w:vAlign w:val="center"/>
            <w:hideMark/>
          </w:tcPr>
          <w:p w:rsidR="00072868" w:rsidRDefault="00072868">
            <w:pPr>
              <w:rPr>
                <w:rFonts w:ascii="Book Antiqua" w:hAnsi="Book Antiqua"/>
                <w:b/>
                <w:bCs/>
                <w:sz w:val="20"/>
                <w:szCs w:val="20"/>
              </w:rPr>
            </w:pPr>
            <w:r>
              <w:rPr>
                <w:rFonts w:ascii="Book Antiqua" w:hAnsi="Book Antiqua"/>
                <w:b/>
                <w:bCs/>
                <w:color w:val="000000"/>
                <w:sz w:val="20"/>
                <w:szCs w:val="20"/>
              </w:rPr>
              <w:t>D. Autres normes prudentielles</w:t>
            </w:r>
          </w:p>
        </w:tc>
        <w:tc>
          <w:tcPr>
            <w:tcW w:w="549" w:type="pct"/>
            <w:tcBorders>
              <w:top w:val="nil"/>
              <w:left w:val="nil"/>
              <w:bottom w:val="nil"/>
              <w:right w:val="single" w:sz="8" w:space="0" w:color="000000"/>
            </w:tcBorders>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593"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436"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c>
          <w:tcPr>
            <w:tcW w:w="774" w:type="pct"/>
            <w:tcBorders>
              <w:top w:val="nil"/>
              <w:left w:val="nil"/>
              <w:bottom w:val="nil"/>
              <w:right w:val="single" w:sz="8" w:space="0" w:color="000000"/>
            </w:tcBorders>
            <w:shd w:val="clear" w:color="auto" w:fill="D9D9D9"/>
            <w:tcMar>
              <w:top w:w="0" w:type="dxa"/>
              <w:left w:w="70" w:type="dxa"/>
              <w:bottom w:w="0" w:type="dxa"/>
              <w:right w:w="70" w:type="dxa"/>
            </w:tcMar>
            <w:vAlign w:val="center"/>
          </w:tcPr>
          <w:p w:rsidR="00072868" w:rsidRDefault="00072868">
            <w:pPr>
              <w:jc w:val="center"/>
              <w:rPr>
                <w:rFonts w:ascii="Book Antiqua" w:hAnsi="Book Antiqua"/>
                <w:b/>
                <w:bCs/>
                <w:sz w:val="20"/>
                <w:szCs w:val="20"/>
                <w:u w:val="single"/>
              </w:rPr>
            </w:pPr>
          </w:p>
        </w:tc>
      </w:tr>
      <w:tr w:rsidR="00072868" w:rsidTr="0049216F">
        <w:trPr>
          <w:trHeight w:val="525"/>
        </w:trPr>
        <w:tc>
          <w:tcPr>
            <w:tcW w:w="17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Limite individuelle sur les participations dans les entités commerciales ( 25% capital de l'entreprise)</w:t>
            </w:r>
          </w:p>
        </w:tc>
        <w:tc>
          <w:tcPr>
            <w:tcW w:w="549" w:type="pct"/>
            <w:tcBorders>
              <w:top w:val="single" w:sz="8" w:space="0" w:color="000000"/>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EP35</w:t>
            </w:r>
          </w:p>
        </w:tc>
        <w:tc>
          <w:tcPr>
            <w:tcW w:w="593" w:type="pct"/>
            <w:tcBorders>
              <w:top w:val="single" w:sz="8" w:space="0" w:color="000000"/>
              <w:left w:val="nil"/>
              <w:bottom w:val="single" w:sz="8" w:space="0" w:color="FFFFFF"/>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&lt;= 25%</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15,00%</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15,00%</w:t>
            </w:r>
          </w:p>
        </w:tc>
        <w:tc>
          <w:tcPr>
            <w:tcW w:w="436"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11,54%</w:t>
            </w:r>
          </w:p>
        </w:tc>
        <w:tc>
          <w:tcPr>
            <w:tcW w:w="774" w:type="pct"/>
            <w:tcBorders>
              <w:top w:val="single" w:sz="8" w:space="0" w:color="000000"/>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525"/>
        </w:trPr>
        <w:tc>
          <w:tcPr>
            <w:tcW w:w="1775" w:type="pct"/>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Limite individuelle sur les participations dans les entités commerciales (15% des fonds propres T1 de l'établissement)</w:t>
            </w:r>
          </w:p>
        </w:tc>
        <w:tc>
          <w:tcPr>
            <w:tcW w:w="549" w:type="pct"/>
            <w:tcBorders>
              <w:top w:val="nil"/>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EP35</w:t>
            </w:r>
          </w:p>
        </w:tc>
        <w:tc>
          <w:tcPr>
            <w:tcW w:w="593" w:type="pct"/>
            <w:tcBorders>
              <w:top w:val="nil"/>
              <w:left w:val="nil"/>
              <w:bottom w:val="single" w:sz="8" w:space="0" w:color="FFFFFF"/>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&lt;= 15%</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0,06%</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0,04%</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0,04%</w:t>
            </w:r>
          </w:p>
        </w:tc>
        <w:tc>
          <w:tcPr>
            <w:tcW w:w="774"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525"/>
        </w:trPr>
        <w:tc>
          <w:tcPr>
            <w:tcW w:w="1775" w:type="pct"/>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Limite globale de participations dans les entités commerciales (60% des fonds propres effectifs de l'établissement)</w:t>
            </w:r>
          </w:p>
        </w:tc>
        <w:tc>
          <w:tcPr>
            <w:tcW w:w="549" w:type="pct"/>
            <w:tcBorders>
              <w:top w:val="nil"/>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EP35</w:t>
            </w:r>
          </w:p>
        </w:tc>
        <w:tc>
          <w:tcPr>
            <w:tcW w:w="593" w:type="pct"/>
            <w:tcBorders>
              <w:top w:val="nil"/>
              <w:left w:val="nil"/>
              <w:bottom w:val="single" w:sz="8" w:space="0" w:color="FFFFFF"/>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&lt;= 60%</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0,05%</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0,05%</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0,04%</w:t>
            </w:r>
          </w:p>
        </w:tc>
        <w:tc>
          <w:tcPr>
            <w:tcW w:w="774"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263"/>
        </w:trPr>
        <w:tc>
          <w:tcPr>
            <w:tcW w:w="1775" w:type="pct"/>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Limite sur les immobilisations hors exploitation</w:t>
            </w:r>
          </w:p>
        </w:tc>
        <w:tc>
          <w:tcPr>
            <w:tcW w:w="549" w:type="pct"/>
            <w:tcBorders>
              <w:top w:val="nil"/>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EP36</w:t>
            </w:r>
          </w:p>
        </w:tc>
        <w:tc>
          <w:tcPr>
            <w:tcW w:w="593" w:type="pct"/>
            <w:tcBorders>
              <w:top w:val="nil"/>
              <w:left w:val="nil"/>
              <w:bottom w:val="single" w:sz="8" w:space="0" w:color="FFFFFF"/>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&lt;= 15%</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5,82%</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10,91%</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6,61%</w:t>
            </w:r>
          </w:p>
        </w:tc>
        <w:tc>
          <w:tcPr>
            <w:tcW w:w="774"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263"/>
        </w:trPr>
        <w:tc>
          <w:tcPr>
            <w:tcW w:w="1775" w:type="pct"/>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Limite sur le total des immobilisations et des participations</w:t>
            </w:r>
          </w:p>
        </w:tc>
        <w:tc>
          <w:tcPr>
            <w:tcW w:w="549" w:type="pct"/>
            <w:tcBorders>
              <w:top w:val="nil"/>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EP37</w:t>
            </w:r>
          </w:p>
        </w:tc>
        <w:tc>
          <w:tcPr>
            <w:tcW w:w="593" w:type="pct"/>
            <w:tcBorders>
              <w:top w:val="nil"/>
              <w:left w:val="nil"/>
              <w:bottom w:val="single" w:sz="8" w:space="0" w:color="FFFFFF"/>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&lt;= 100%</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33,22%</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42,66%</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28,35%</w:t>
            </w:r>
          </w:p>
        </w:tc>
        <w:tc>
          <w:tcPr>
            <w:tcW w:w="774"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r w:rsidR="00072868" w:rsidTr="0049216F">
        <w:trPr>
          <w:trHeight w:val="525"/>
        </w:trPr>
        <w:tc>
          <w:tcPr>
            <w:tcW w:w="1775" w:type="pct"/>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hideMark/>
          </w:tcPr>
          <w:p w:rsidR="00072868" w:rsidRDefault="00072868">
            <w:pPr>
              <w:rPr>
                <w:rFonts w:ascii="Book Antiqua" w:hAnsi="Book Antiqua"/>
                <w:sz w:val="20"/>
                <w:szCs w:val="20"/>
              </w:rPr>
            </w:pPr>
            <w:r>
              <w:rPr>
                <w:rFonts w:ascii="Book Antiqua" w:hAnsi="Book Antiqua"/>
                <w:sz w:val="20"/>
                <w:szCs w:val="20"/>
              </w:rPr>
              <w:t>Limite sur les prêts aux actionnaires , aux dirigeants et au personnel</w:t>
            </w:r>
          </w:p>
        </w:tc>
        <w:tc>
          <w:tcPr>
            <w:tcW w:w="549" w:type="pct"/>
            <w:tcBorders>
              <w:top w:val="nil"/>
              <w:left w:val="nil"/>
              <w:bottom w:val="single" w:sz="8" w:space="0" w:color="000000"/>
              <w:right w:val="single" w:sz="8" w:space="0" w:color="000000"/>
            </w:tcBorders>
            <w:shd w:val="clear" w:color="auto" w:fill="FFFFFF"/>
            <w:tcMar>
              <w:top w:w="0" w:type="dxa"/>
              <w:left w:w="70" w:type="dxa"/>
              <w:bottom w:w="0" w:type="dxa"/>
              <w:right w:w="70" w:type="dxa"/>
            </w:tcMar>
            <w:vAlign w:val="center"/>
            <w:hideMark/>
          </w:tcPr>
          <w:p w:rsidR="00072868" w:rsidRDefault="00072868">
            <w:pPr>
              <w:jc w:val="center"/>
              <w:rPr>
                <w:rFonts w:ascii="Book Antiqua" w:hAnsi="Book Antiqua"/>
                <w:sz w:val="20"/>
                <w:szCs w:val="20"/>
              </w:rPr>
            </w:pPr>
            <w:r>
              <w:rPr>
                <w:rFonts w:ascii="Book Antiqua" w:hAnsi="Book Antiqua"/>
                <w:color w:val="000000"/>
                <w:sz w:val="20"/>
                <w:szCs w:val="20"/>
              </w:rPr>
              <w:t>EP38</w:t>
            </w:r>
          </w:p>
        </w:tc>
        <w:tc>
          <w:tcPr>
            <w:tcW w:w="593" w:type="pct"/>
            <w:tcBorders>
              <w:top w:val="nil"/>
              <w:left w:val="nil"/>
              <w:bottom w:val="nil"/>
              <w:right w:val="single" w:sz="8" w:space="0" w:color="000000"/>
            </w:tcBorders>
            <w:shd w:val="clear" w:color="auto" w:fill="003399"/>
            <w:noWrap/>
            <w:tcMar>
              <w:top w:w="0" w:type="dxa"/>
              <w:left w:w="70" w:type="dxa"/>
              <w:bottom w:w="0" w:type="dxa"/>
              <w:right w:w="70" w:type="dxa"/>
            </w:tcMar>
            <w:vAlign w:val="center"/>
            <w:hideMark/>
          </w:tcPr>
          <w:p w:rsidR="00072868" w:rsidRDefault="00072868">
            <w:pPr>
              <w:jc w:val="center"/>
              <w:rPr>
                <w:rFonts w:ascii="Book Antiqua" w:hAnsi="Book Antiqua"/>
                <w:b/>
                <w:bCs/>
                <w:color w:val="FFFFFF"/>
                <w:sz w:val="20"/>
                <w:szCs w:val="20"/>
              </w:rPr>
            </w:pPr>
            <w:r>
              <w:rPr>
                <w:rFonts w:ascii="Book Antiqua" w:hAnsi="Book Antiqua"/>
                <w:b/>
                <w:bCs/>
                <w:color w:val="FFFFFF"/>
                <w:sz w:val="20"/>
                <w:szCs w:val="20"/>
              </w:rPr>
              <w:t>&lt;= 20%</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12,42%</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11,22%</w:t>
            </w:r>
          </w:p>
        </w:tc>
        <w:tc>
          <w:tcPr>
            <w:tcW w:w="436"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sz w:val="20"/>
                <w:szCs w:val="20"/>
              </w:rPr>
            </w:pPr>
            <w:r>
              <w:rPr>
                <w:rFonts w:ascii="Book Antiqua" w:hAnsi="Book Antiqua"/>
                <w:b/>
                <w:bCs/>
                <w:color w:val="000000"/>
                <w:sz w:val="20"/>
                <w:szCs w:val="20"/>
              </w:rPr>
              <w:t>9,71%</w:t>
            </w:r>
          </w:p>
        </w:tc>
        <w:tc>
          <w:tcPr>
            <w:tcW w:w="774" w:type="pct"/>
            <w:tcBorders>
              <w:top w:val="nil"/>
              <w:left w:val="nil"/>
              <w:bottom w:val="single" w:sz="8" w:space="0" w:color="000000"/>
              <w:right w:val="single" w:sz="8" w:space="0" w:color="000000"/>
            </w:tcBorders>
            <w:shd w:val="clear" w:color="auto" w:fill="FFFFFF"/>
            <w:noWrap/>
            <w:tcMar>
              <w:top w:w="0" w:type="dxa"/>
              <w:left w:w="70" w:type="dxa"/>
              <w:bottom w:w="0" w:type="dxa"/>
              <w:right w:w="70" w:type="dxa"/>
            </w:tcMar>
            <w:vAlign w:val="center"/>
            <w:hideMark/>
          </w:tcPr>
          <w:p w:rsidR="00072868" w:rsidRDefault="00072868">
            <w:pPr>
              <w:jc w:val="center"/>
              <w:rPr>
                <w:rFonts w:ascii="Book Antiqua" w:hAnsi="Book Antiqua"/>
                <w:b/>
                <w:bCs/>
                <w:color w:val="006600"/>
                <w:sz w:val="20"/>
                <w:szCs w:val="20"/>
              </w:rPr>
            </w:pPr>
            <w:r>
              <w:rPr>
                <w:rFonts w:ascii="Book Antiqua" w:hAnsi="Book Antiqua"/>
                <w:b/>
                <w:bCs/>
                <w:color w:val="006600"/>
                <w:sz w:val="20"/>
                <w:szCs w:val="20"/>
              </w:rPr>
              <w:t>CONFORME</w:t>
            </w:r>
          </w:p>
        </w:tc>
      </w:tr>
    </w:tbl>
    <w:p w:rsidR="00151B45" w:rsidRDefault="00151B45" w:rsidP="00151B45">
      <w:pPr>
        <w:rPr>
          <w:color w:val="1F497D"/>
          <w:sz w:val="22"/>
          <w:szCs w:val="22"/>
        </w:rPr>
      </w:pPr>
    </w:p>
    <w:p w:rsidR="000E4B13" w:rsidRDefault="000E4B13" w:rsidP="00346183"/>
    <w:p w:rsidR="00C62ADB" w:rsidRDefault="00C62ADB" w:rsidP="004E30E4">
      <w:pPr>
        <w:spacing w:line="360" w:lineRule="auto"/>
        <w:jc w:val="center"/>
        <w:rPr>
          <w:rFonts w:ascii="Bookman Old Style" w:hAnsi="Bookman Old Style"/>
          <w:b/>
          <w:color w:val="000000"/>
        </w:rPr>
      </w:pPr>
      <w:r>
        <w:rPr>
          <w:rFonts w:ascii="Bookman Old Style" w:hAnsi="Bookman Old Style"/>
          <w:b/>
          <w:color w:val="000000"/>
        </w:rPr>
        <w:t xml:space="preserve">Le </w:t>
      </w:r>
      <w:r w:rsidR="00A86C56" w:rsidRPr="008A7450">
        <w:rPr>
          <w:rFonts w:ascii="Bookman Old Style" w:hAnsi="Bookman Old Style"/>
          <w:b/>
          <w:color w:val="000000"/>
        </w:rPr>
        <w:t>D</w:t>
      </w:r>
      <w:r>
        <w:rPr>
          <w:rFonts w:ascii="Bookman Old Style" w:hAnsi="Bookman Old Style"/>
          <w:b/>
          <w:color w:val="000000"/>
        </w:rPr>
        <w:t>irecteur</w:t>
      </w:r>
      <w:r w:rsidR="00C0597E">
        <w:rPr>
          <w:rFonts w:ascii="Bookman Old Style" w:hAnsi="Bookman Old Style"/>
          <w:b/>
          <w:color w:val="000000"/>
        </w:rPr>
        <w:t xml:space="preserve"> des Risques</w:t>
      </w:r>
    </w:p>
    <w:p w:rsidR="0057012C" w:rsidRDefault="0057012C" w:rsidP="002322FD">
      <w:pPr>
        <w:spacing w:line="360" w:lineRule="auto"/>
        <w:rPr>
          <w:rFonts w:ascii="Bookman Old Style" w:hAnsi="Bookman Old Style"/>
          <w:color w:val="000000"/>
        </w:rPr>
      </w:pPr>
    </w:p>
    <w:p w:rsidR="004511F8" w:rsidRDefault="004511F8" w:rsidP="002322FD">
      <w:pPr>
        <w:spacing w:line="360" w:lineRule="auto"/>
        <w:rPr>
          <w:rFonts w:ascii="Bookman Old Style" w:hAnsi="Bookman Old Style"/>
          <w:color w:val="000000"/>
        </w:rPr>
      </w:pPr>
    </w:p>
    <w:p w:rsidR="002A5473" w:rsidRPr="008A7450" w:rsidRDefault="00B025BA" w:rsidP="003A761D">
      <w:pPr>
        <w:spacing w:line="360" w:lineRule="auto"/>
        <w:jc w:val="center"/>
        <w:rPr>
          <w:b/>
        </w:rPr>
      </w:pPr>
      <w:r>
        <w:rPr>
          <w:rFonts w:ascii="Bookman Old Style" w:hAnsi="Bookman Old Style"/>
          <w:b/>
          <w:color w:val="000000"/>
        </w:rPr>
        <w:t>Prosper ZONGO</w:t>
      </w:r>
      <w:r w:rsidR="003A761D" w:rsidRPr="008A7450">
        <w:rPr>
          <w:rFonts w:ascii="Bookman Old Style" w:hAnsi="Bookman Old Style"/>
          <w:b/>
          <w:color w:val="000000"/>
        </w:rPr>
        <w:t xml:space="preserve"> </w:t>
      </w:r>
    </w:p>
    <w:sectPr w:rsidR="002A5473" w:rsidRPr="008A7450" w:rsidSect="00B42E93">
      <w:footerReference w:type="even" r:id="rId12"/>
      <w:footerReference w:type="default" r:id="rId13"/>
      <w:pgSz w:w="11906" w:h="16838"/>
      <w:pgMar w:top="1276" w:right="1274" w:bottom="1418" w:left="1418" w:header="709" w:footer="86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095" w:rsidRDefault="00081095">
      <w:r>
        <w:separator/>
      </w:r>
    </w:p>
  </w:endnote>
  <w:endnote w:type="continuationSeparator" w:id="0">
    <w:p w:rsidR="00081095" w:rsidRDefault="0008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E5F" w:rsidRDefault="000E0E5F" w:rsidP="000933A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7</w:t>
    </w:r>
    <w:r>
      <w:rPr>
        <w:rStyle w:val="Numrodepage"/>
      </w:rPr>
      <w:fldChar w:fldCharType="end"/>
    </w:r>
  </w:p>
  <w:p w:rsidR="000E0E5F" w:rsidRDefault="000E0E5F" w:rsidP="000933A1">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E5F" w:rsidRDefault="000E0E5F" w:rsidP="000933A1">
    <w:pPr>
      <w:pStyle w:val="Pieddepage"/>
      <w:framePr w:wrap="around" w:vAnchor="text" w:hAnchor="margin" w:xAlign="right" w:y="1"/>
      <w:rPr>
        <w:rStyle w:val="Numrodepage"/>
      </w:rPr>
    </w:pPr>
    <w:r w:rsidRPr="0088408E">
      <w:rPr>
        <w:rStyle w:val="Numrodepage"/>
        <w:b/>
      </w:rPr>
      <w:fldChar w:fldCharType="begin"/>
    </w:r>
    <w:r w:rsidRPr="0088408E">
      <w:rPr>
        <w:rStyle w:val="Numrodepage"/>
        <w:b/>
      </w:rPr>
      <w:instrText xml:space="preserve">PAGE  </w:instrText>
    </w:r>
    <w:r w:rsidRPr="0088408E">
      <w:rPr>
        <w:rStyle w:val="Numrodepage"/>
        <w:b/>
      </w:rPr>
      <w:fldChar w:fldCharType="separate"/>
    </w:r>
    <w:r w:rsidR="001E1E8A">
      <w:rPr>
        <w:rStyle w:val="Numrodepage"/>
        <w:b/>
        <w:noProof/>
      </w:rPr>
      <w:t>1</w:t>
    </w:r>
    <w:r w:rsidRPr="0088408E">
      <w:rPr>
        <w:rStyle w:val="Numrodepage"/>
        <w:b/>
      </w:rPr>
      <w:fldChar w:fldCharType="end"/>
    </w:r>
  </w:p>
  <w:p w:rsidR="000E0E5F" w:rsidRPr="0072092A" w:rsidRDefault="000E0E5F" w:rsidP="000933A1">
    <w:pPr>
      <w:pStyle w:val="Pieddepage"/>
      <w:ind w:right="360"/>
      <w:rPr>
        <w:rFonts w:ascii="Century" w:hAnsi="Century"/>
        <w:b/>
        <w:sz w:val="19"/>
        <w:szCs w:val="19"/>
      </w:rPr>
    </w:pPr>
    <w:r w:rsidRPr="0072092A">
      <w:rPr>
        <w:rFonts w:ascii="Century" w:hAnsi="Century"/>
        <w:b/>
        <w:sz w:val="19"/>
        <w:szCs w:val="19"/>
      </w:rPr>
      <w:t xml:space="preserve">Rapport de révision semestrielle du portefeuille de crédit de Coris Holding </w:t>
    </w:r>
    <w:r>
      <w:rPr>
        <w:rFonts w:ascii="Century" w:hAnsi="Century"/>
        <w:b/>
        <w:sz w:val="19"/>
        <w:szCs w:val="19"/>
      </w:rPr>
      <w:t>au 30</w:t>
    </w:r>
    <w:r w:rsidRPr="0072092A">
      <w:rPr>
        <w:rFonts w:ascii="Century" w:hAnsi="Century"/>
        <w:b/>
        <w:sz w:val="19"/>
        <w:szCs w:val="19"/>
      </w:rPr>
      <w:t xml:space="preserve"> </w:t>
    </w:r>
    <w:r>
      <w:rPr>
        <w:rFonts w:ascii="Century" w:hAnsi="Century"/>
        <w:b/>
        <w:sz w:val="19"/>
        <w:szCs w:val="19"/>
      </w:rPr>
      <w:t>juin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095" w:rsidRDefault="00081095">
      <w:r>
        <w:separator/>
      </w:r>
    </w:p>
  </w:footnote>
  <w:footnote w:type="continuationSeparator" w:id="0">
    <w:p w:rsidR="00081095" w:rsidRDefault="00081095">
      <w:r>
        <w:continuationSeparator/>
      </w:r>
    </w:p>
  </w:footnote>
  <w:footnote w:id="1">
    <w:p w:rsidR="000E0E5F" w:rsidRDefault="000E0E5F" w:rsidP="0047623C">
      <w:pPr>
        <w:pStyle w:val="Notedebasdepage"/>
      </w:pPr>
      <w:r>
        <w:rPr>
          <w:rStyle w:val="Appelnotedebasdep"/>
        </w:rPr>
        <w:footnoteRef/>
      </w:r>
      <w:r>
        <w:t xml:space="preserve"> ex, endettement excessif, évolution défavorable des contraintes réglementaires dans son secteur, problèmes de succession prévisibles au niveau de l’équipe dirigeante, </w:t>
      </w:r>
      <w:r w:rsidRPr="00CB3147">
        <w:t>etc</w:t>
      </w:r>
      <w:r>
        <w:t>.</w:t>
      </w:r>
    </w:p>
  </w:footnote>
  <w:footnote w:id="2">
    <w:p w:rsidR="000E0E5F" w:rsidRPr="004A1BD9" w:rsidRDefault="000E0E5F" w:rsidP="0047623C">
      <w:pPr>
        <w:shd w:val="clear" w:color="auto" w:fill="FFFFFF"/>
        <w:rPr>
          <w:sz w:val="20"/>
          <w:szCs w:val="20"/>
        </w:rPr>
      </w:pPr>
      <w:r>
        <w:rPr>
          <w:rStyle w:val="Appelnotedebasdep"/>
        </w:rPr>
        <w:footnoteRef/>
      </w:r>
      <w:r w:rsidRPr="004A1BD9">
        <w:rPr>
          <w:sz w:val="20"/>
          <w:szCs w:val="20"/>
        </w:rPr>
        <w:t>Cela désigne le fait pour le débiteur d'être maître de ses biens, par opposition non en état de cessation des paiements</w:t>
      </w:r>
      <w:r>
        <w:rPr>
          <w:sz w:val="20"/>
          <w:szCs w:val="20"/>
        </w:rPr>
        <w:t>.</w:t>
      </w:r>
    </w:p>
  </w:footnote>
  <w:footnote w:id="3">
    <w:p w:rsidR="000E0E5F" w:rsidRPr="00B14095" w:rsidRDefault="000E0E5F" w:rsidP="00584E20">
      <w:pPr>
        <w:pStyle w:val="Notedebasdepage"/>
        <w:rPr>
          <w:bCs/>
          <w:sz w:val="26"/>
          <w:szCs w:val="26"/>
        </w:rPr>
      </w:pPr>
      <w:r>
        <w:rPr>
          <w:rStyle w:val="Appelnotedebasdep"/>
        </w:rPr>
        <w:footnoteRef/>
      </w:r>
      <w:r w:rsidRPr="00B14095">
        <w:rPr>
          <w:bCs/>
          <w:szCs w:val="26"/>
        </w:rPr>
        <w:t>le délai de quatre-vingt-dix (90) jours est rallongé à cent quatre-vingt (180) jours pour les expositions sur les Etats de l’UMOA, les organismes publics hors administration centrale des Etats de l’UMOA ainsi que les financements accordés aux PME/PMI sous certaines conditions.</w:t>
      </w:r>
    </w:p>
    <w:p w:rsidR="000E0E5F" w:rsidRDefault="000E0E5F">
      <w:pPr>
        <w:pStyle w:val="Notedebasdepag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E"/>
      </v:shape>
    </w:pict>
  </w:numPicBullet>
  <w:abstractNum w:abstractNumId="0" w15:restartNumberingAfterBreak="0">
    <w:nsid w:val="00CA749F"/>
    <w:multiLevelType w:val="multilevel"/>
    <w:tmpl w:val="7974BFBC"/>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704CB5"/>
    <w:multiLevelType w:val="hybridMultilevel"/>
    <w:tmpl w:val="A76C55DA"/>
    <w:lvl w:ilvl="0" w:tplc="7250E590">
      <w:numFmt w:val="bullet"/>
      <w:lvlText w:val="-"/>
      <w:lvlJc w:val="left"/>
      <w:pPr>
        <w:ind w:left="1440" w:hanging="360"/>
      </w:pPr>
      <w:rPr>
        <w:rFonts w:ascii="Comic Sans MS" w:eastAsia="Times New Roman" w:hAnsi="Comic Sans MS"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3A5C3A"/>
    <w:multiLevelType w:val="hybridMultilevel"/>
    <w:tmpl w:val="4AB4677C"/>
    <w:lvl w:ilvl="0" w:tplc="6BC86420">
      <w:start w:val="1"/>
      <w:numFmt w:val="decimal"/>
      <w:lvlText w:val="%1."/>
      <w:lvlJc w:val="left"/>
      <w:pPr>
        <w:tabs>
          <w:tab w:val="num" w:pos="720"/>
        </w:tabs>
        <w:ind w:left="720" w:hanging="360"/>
      </w:pPr>
    </w:lvl>
    <w:lvl w:ilvl="1" w:tplc="A91E823A">
      <w:numFmt w:val="none"/>
      <w:lvlText w:val=""/>
      <w:lvlJc w:val="left"/>
      <w:pPr>
        <w:tabs>
          <w:tab w:val="num" w:pos="360"/>
        </w:tabs>
      </w:pPr>
    </w:lvl>
    <w:lvl w:ilvl="2" w:tplc="7706C4D4">
      <w:numFmt w:val="none"/>
      <w:lvlText w:val=""/>
      <w:lvlJc w:val="left"/>
      <w:pPr>
        <w:tabs>
          <w:tab w:val="num" w:pos="360"/>
        </w:tabs>
      </w:pPr>
    </w:lvl>
    <w:lvl w:ilvl="3" w:tplc="8082747E">
      <w:numFmt w:val="none"/>
      <w:lvlText w:val=""/>
      <w:lvlJc w:val="left"/>
      <w:pPr>
        <w:tabs>
          <w:tab w:val="num" w:pos="360"/>
        </w:tabs>
      </w:pPr>
    </w:lvl>
    <w:lvl w:ilvl="4" w:tplc="A0320BD6">
      <w:numFmt w:val="none"/>
      <w:lvlText w:val=""/>
      <w:lvlJc w:val="left"/>
      <w:pPr>
        <w:tabs>
          <w:tab w:val="num" w:pos="360"/>
        </w:tabs>
      </w:pPr>
    </w:lvl>
    <w:lvl w:ilvl="5" w:tplc="58A2AB42">
      <w:numFmt w:val="none"/>
      <w:lvlText w:val=""/>
      <w:lvlJc w:val="left"/>
      <w:pPr>
        <w:tabs>
          <w:tab w:val="num" w:pos="360"/>
        </w:tabs>
      </w:pPr>
    </w:lvl>
    <w:lvl w:ilvl="6" w:tplc="A6628138">
      <w:numFmt w:val="none"/>
      <w:lvlText w:val=""/>
      <w:lvlJc w:val="left"/>
      <w:pPr>
        <w:tabs>
          <w:tab w:val="num" w:pos="360"/>
        </w:tabs>
      </w:pPr>
    </w:lvl>
    <w:lvl w:ilvl="7" w:tplc="DE84EE5C">
      <w:numFmt w:val="none"/>
      <w:lvlText w:val=""/>
      <w:lvlJc w:val="left"/>
      <w:pPr>
        <w:tabs>
          <w:tab w:val="num" w:pos="360"/>
        </w:tabs>
      </w:pPr>
    </w:lvl>
    <w:lvl w:ilvl="8" w:tplc="E95C2FD4">
      <w:numFmt w:val="none"/>
      <w:lvlText w:val=""/>
      <w:lvlJc w:val="left"/>
      <w:pPr>
        <w:tabs>
          <w:tab w:val="num" w:pos="360"/>
        </w:tabs>
      </w:pPr>
    </w:lvl>
  </w:abstractNum>
  <w:abstractNum w:abstractNumId="3" w15:restartNumberingAfterBreak="0">
    <w:nsid w:val="0FBC4B7E"/>
    <w:multiLevelType w:val="hybridMultilevel"/>
    <w:tmpl w:val="DE228180"/>
    <w:lvl w:ilvl="0" w:tplc="040C0017">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5A020A"/>
    <w:multiLevelType w:val="hybridMultilevel"/>
    <w:tmpl w:val="41224270"/>
    <w:lvl w:ilvl="0" w:tplc="040C0009">
      <w:start w:val="1"/>
      <w:numFmt w:val="bullet"/>
      <w:lvlText w:val=""/>
      <w:lvlJc w:val="left"/>
      <w:pPr>
        <w:tabs>
          <w:tab w:val="num" w:pos="720"/>
        </w:tabs>
        <w:ind w:left="720" w:hanging="360"/>
      </w:pPr>
      <w:rPr>
        <w:rFonts w:ascii="Wingdings" w:hAnsi="Wingdings" w:hint="default"/>
      </w:rPr>
    </w:lvl>
    <w:lvl w:ilvl="1" w:tplc="040C0009">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0D12E4"/>
    <w:multiLevelType w:val="hybridMultilevel"/>
    <w:tmpl w:val="43880E9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1AE56AC4"/>
    <w:multiLevelType w:val="hybridMultilevel"/>
    <w:tmpl w:val="32AE834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15D2CC8"/>
    <w:multiLevelType w:val="hybridMultilevel"/>
    <w:tmpl w:val="3E92C9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26A716C"/>
    <w:multiLevelType w:val="hybridMultilevel"/>
    <w:tmpl w:val="1C10E1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097057"/>
    <w:multiLevelType w:val="hybridMultilevel"/>
    <w:tmpl w:val="06425F1C"/>
    <w:lvl w:ilvl="0" w:tplc="18A856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E25E26"/>
    <w:multiLevelType w:val="hybridMultilevel"/>
    <w:tmpl w:val="5FF82A66"/>
    <w:lvl w:ilvl="0" w:tplc="040C0015">
      <w:start w:val="1"/>
      <w:numFmt w:val="upp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2F644D59"/>
    <w:multiLevelType w:val="hybridMultilevel"/>
    <w:tmpl w:val="B316D27E"/>
    <w:lvl w:ilvl="0" w:tplc="C750DC84">
      <w:start w:val="1"/>
      <w:numFmt w:val="bullet"/>
      <w:lvlText w:val=""/>
      <w:lvlJc w:val="left"/>
      <w:pPr>
        <w:tabs>
          <w:tab w:val="num" w:pos="1068"/>
        </w:tabs>
        <w:ind w:left="1068" w:hanging="360"/>
      </w:pPr>
      <w:rPr>
        <w:rFonts w:ascii="Wingdings" w:hAnsi="Wingdings" w:hint="default"/>
        <w:b w:val="0"/>
        <w:color w:val="auto"/>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30055D3F"/>
    <w:multiLevelType w:val="multilevel"/>
    <w:tmpl w:val="87F418AA"/>
    <w:lvl w:ilvl="0">
      <w:start w:val="2"/>
      <w:numFmt w:val="decimal"/>
      <w:lvlText w:val="%1"/>
      <w:lvlJc w:val="left"/>
      <w:pPr>
        <w:tabs>
          <w:tab w:val="num" w:pos="2345"/>
        </w:tabs>
        <w:ind w:left="2345" w:hanging="360"/>
      </w:pPr>
      <w:rPr>
        <w:rFonts w:hint="default"/>
      </w:rPr>
    </w:lvl>
    <w:lvl w:ilvl="1">
      <w:start w:val="1"/>
      <w:numFmt w:val="decimal"/>
      <w:lvlText w:val="%1.%2"/>
      <w:lvlJc w:val="left"/>
      <w:pPr>
        <w:tabs>
          <w:tab w:val="num" w:pos="2885"/>
        </w:tabs>
        <w:ind w:left="2885" w:hanging="360"/>
      </w:pPr>
      <w:rPr>
        <w:rFonts w:hint="default"/>
      </w:rPr>
    </w:lvl>
    <w:lvl w:ilvl="2">
      <w:start w:val="1"/>
      <w:numFmt w:val="decimal"/>
      <w:lvlText w:val="%1.%2.%3"/>
      <w:lvlJc w:val="left"/>
      <w:pPr>
        <w:tabs>
          <w:tab w:val="num" w:pos="3785"/>
        </w:tabs>
        <w:ind w:left="3785" w:hanging="720"/>
      </w:pPr>
      <w:rPr>
        <w:rFonts w:hint="default"/>
      </w:rPr>
    </w:lvl>
    <w:lvl w:ilvl="3">
      <w:start w:val="1"/>
      <w:numFmt w:val="decimal"/>
      <w:lvlText w:val="%1.%2.%3.%4"/>
      <w:lvlJc w:val="left"/>
      <w:pPr>
        <w:tabs>
          <w:tab w:val="num" w:pos="4325"/>
        </w:tabs>
        <w:ind w:left="4325" w:hanging="720"/>
      </w:pPr>
      <w:rPr>
        <w:rFonts w:hint="default"/>
      </w:rPr>
    </w:lvl>
    <w:lvl w:ilvl="4">
      <w:start w:val="1"/>
      <w:numFmt w:val="decimal"/>
      <w:lvlText w:val="%1.%2.%3.%4.%5"/>
      <w:lvlJc w:val="left"/>
      <w:pPr>
        <w:tabs>
          <w:tab w:val="num" w:pos="5225"/>
        </w:tabs>
        <w:ind w:left="5225" w:hanging="1080"/>
      </w:pPr>
      <w:rPr>
        <w:rFonts w:hint="default"/>
      </w:rPr>
    </w:lvl>
    <w:lvl w:ilvl="5">
      <w:start w:val="1"/>
      <w:numFmt w:val="decimal"/>
      <w:lvlText w:val="%1.%2.%3.%4.%5.%6"/>
      <w:lvlJc w:val="left"/>
      <w:pPr>
        <w:tabs>
          <w:tab w:val="num" w:pos="5765"/>
        </w:tabs>
        <w:ind w:left="5765" w:hanging="1080"/>
      </w:pPr>
      <w:rPr>
        <w:rFonts w:hint="default"/>
      </w:rPr>
    </w:lvl>
    <w:lvl w:ilvl="6">
      <w:start w:val="1"/>
      <w:numFmt w:val="decimal"/>
      <w:lvlText w:val="%1.%2.%3.%4.%5.%6.%7"/>
      <w:lvlJc w:val="left"/>
      <w:pPr>
        <w:tabs>
          <w:tab w:val="num" w:pos="6665"/>
        </w:tabs>
        <w:ind w:left="6665" w:hanging="1440"/>
      </w:pPr>
      <w:rPr>
        <w:rFonts w:hint="default"/>
      </w:rPr>
    </w:lvl>
    <w:lvl w:ilvl="7">
      <w:start w:val="1"/>
      <w:numFmt w:val="decimal"/>
      <w:lvlText w:val="%1.%2.%3.%4.%5.%6.%7.%8"/>
      <w:lvlJc w:val="left"/>
      <w:pPr>
        <w:tabs>
          <w:tab w:val="num" w:pos="7205"/>
        </w:tabs>
        <w:ind w:left="7205" w:hanging="1440"/>
      </w:pPr>
      <w:rPr>
        <w:rFonts w:hint="default"/>
      </w:rPr>
    </w:lvl>
    <w:lvl w:ilvl="8">
      <w:start w:val="1"/>
      <w:numFmt w:val="decimal"/>
      <w:lvlText w:val="%1.%2.%3.%4.%5.%6.%7.%8.%9"/>
      <w:lvlJc w:val="left"/>
      <w:pPr>
        <w:tabs>
          <w:tab w:val="num" w:pos="8105"/>
        </w:tabs>
        <w:ind w:left="8105" w:hanging="1800"/>
      </w:pPr>
      <w:rPr>
        <w:rFonts w:hint="default"/>
      </w:rPr>
    </w:lvl>
  </w:abstractNum>
  <w:abstractNum w:abstractNumId="13" w15:restartNumberingAfterBreak="0">
    <w:nsid w:val="3363141B"/>
    <w:multiLevelType w:val="hybridMultilevel"/>
    <w:tmpl w:val="07CEB17E"/>
    <w:lvl w:ilvl="0" w:tplc="040C000B">
      <w:start w:val="1"/>
      <w:numFmt w:val="bullet"/>
      <w:lvlText w:val=""/>
      <w:lvlJc w:val="left"/>
      <w:pPr>
        <w:ind w:left="720" w:hanging="360"/>
      </w:pPr>
      <w:rPr>
        <w:rFonts w:ascii="Wingdings" w:hAnsi="Wingdings" w:hint="default"/>
      </w:rPr>
    </w:lvl>
    <w:lvl w:ilvl="1" w:tplc="7250E590">
      <w:numFmt w:val="bullet"/>
      <w:lvlText w:val="-"/>
      <w:lvlJc w:val="left"/>
      <w:pPr>
        <w:ind w:left="1440" w:hanging="360"/>
      </w:pPr>
      <w:rPr>
        <w:rFonts w:ascii="Comic Sans MS" w:eastAsia="Times New Roman" w:hAnsi="Comic Sans MS" w:cs="Mang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7E01BA"/>
    <w:multiLevelType w:val="hybridMultilevel"/>
    <w:tmpl w:val="B9FCB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3630DE"/>
    <w:multiLevelType w:val="hybridMultilevel"/>
    <w:tmpl w:val="C1D0D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E841ECE"/>
    <w:multiLevelType w:val="hybridMultilevel"/>
    <w:tmpl w:val="F702C35E"/>
    <w:lvl w:ilvl="0" w:tplc="040C000D">
      <w:start w:val="1"/>
      <w:numFmt w:val="bullet"/>
      <w:lvlText w:val=""/>
      <w:lvlJc w:val="left"/>
      <w:pPr>
        <w:tabs>
          <w:tab w:val="num" w:pos="1440"/>
        </w:tabs>
        <w:ind w:left="144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241742"/>
    <w:multiLevelType w:val="hybridMultilevel"/>
    <w:tmpl w:val="F084B248"/>
    <w:lvl w:ilvl="0" w:tplc="402A0E88">
      <w:start w:val="28"/>
      <w:numFmt w:val="bullet"/>
      <w:lvlText w:val="-"/>
      <w:lvlJc w:val="left"/>
      <w:pPr>
        <w:tabs>
          <w:tab w:val="num" w:pos="720"/>
        </w:tabs>
        <w:ind w:left="720" w:hanging="360"/>
      </w:pPr>
      <w:rPr>
        <w:rFonts w:ascii="Book Antiqua" w:eastAsia="Times New Roman" w:hAnsi="Book Antiqua" w:cs="Mang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24E45"/>
    <w:multiLevelType w:val="hybridMultilevel"/>
    <w:tmpl w:val="B20C18DA"/>
    <w:lvl w:ilvl="0" w:tplc="040C0013">
      <w:start w:val="1"/>
      <w:numFmt w:val="upperRoman"/>
      <w:lvlText w:val="%1."/>
      <w:lvlJc w:val="right"/>
      <w:pPr>
        <w:tabs>
          <w:tab w:val="num" w:pos="180"/>
        </w:tabs>
        <w:ind w:left="180" w:hanging="180"/>
      </w:pPr>
    </w:lvl>
    <w:lvl w:ilvl="1" w:tplc="040C000B">
      <w:start w:val="1"/>
      <w:numFmt w:val="bullet"/>
      <w:lvlText w:val=""/>
      <w:lvlJc w:val="left"/>
      <w:pPr>
        <w:tabs>
          <w:tab w:val="num" w:pos="900"/>
        </w:tabs>
        <w:ind w:left="900" w:hanging="360"/>
      </w:pPr>
      <w:rPr>
        <w:rFonts w:ascii="Wingdings" w:hAnsi="Wingdings" w:hint="default"/>
      </w:rPr>
    </w:lvl>
    <w:lvl w:ilvl="2" w:tplc="A79A5B3A">
      <w:start w:val="1"/>
      <w:numFmt w:val="decimal"/>
      <w:lvlText w:val="%3."/>
      <w:lvlJc w:val="left"/>
      <w:pPr>
        <w:tabs>
          <w:tab w:val="num" w:pos="2145"/>
        </w:tabs>
        <w:ind w:left="2145" w:hanging="705"/>
      </w:pPr>
      <w:rPr>
        <w:rFonts w:hint="default"/>
      </w:r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abstractNum w:abstractNumId="19" w15:restartNumberingAfterBreak="0">
    <w:nsid w:val="3FC2270D"/>
    <w:multiLevelType w:val="hybridMultilevel"/>
    <w:tmpl w:val="99DAB8D0"/>
    <w:lvl w:ilvl="0" w:tplc="402A0E88">
      <w:start w:val="28"/>
      <w:numFmt w:val="bullet"/>
      <w:lvlText w:val="-"/>
      <w:lvlJc w:val="left"/>
      <w:pPr>
        <w:ind w:left="720" w:hanging="360"/>
      </w:pPr>
      <w:rPr>
        <w:rFonts w:ascii="Book Antiqua" w:eastAsia="Times New Roman" w:hAnsi="Book Antiqua"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8F23F6"/>
    <w:multiLevelType w:val="hybridMultilevel"/>
    <w:tmpl w:val="BAD4077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352446"/>
    <w:multiLevelType w:val="hybridMultilevel"/>
    <w:tmpl w:val="1B3074CA"/>
    <w:lvl w:ilvl="0" w:tplc="040C000D">
      <w:start w:val="1"/>
      <w:numFmt w:val="bullet"/>
      <w:lvlText w:val=""/>
      <w:lvlJc w:val="left"/>
      <w:pPr>
        <w:tabs>
          <w:tab w:val="num" w:pos="360"/>
        </w:tabs>
        <w:ind w:left="360" w:hanging="360"/>
      </w:pPr>
      <w:rPr>
        <w:rFonts w:ascii="Wingdings" w:hAnsi="Wingdings" w:hint="default"/>
      </w:rPr>
    </w:lvl>
    <w:lvl w:ilvl="1" w:tplc="56A42EC4">
      <w:start w:val="3"/>
      <w:numFmt w:val="upperLetter"/>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8905698"/>
    <w:multiLevelType w:val="multilevel"/>
    <w:tmpl w:val="2B06DC4A"/>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CCD616F"/>
    <w:multiLevelType w:val="hybridMultilevel"/>
    <w:tmpl w:val="E6C0EB8E"/>
    <w:lvl w:ilvl="0" w:tplc="04090001">
      <w:start w:val="1"/>
      <w:numFmt w:val="bullet"/>
      <w:lvlText w:val=""/>
      <w:lvlJc w:val="left"/>
      <w:pPr>
        <w:tabs>
          <w:tab w:val="num" w:pos="360"/>
        </w:tabs>
        <w:ind w:left="360" w:hanging="360"/>
      </w:pPr>
      <w:rPr>
        <w:rFonts w:ascii="Symbol" w:hAnsi="Symbol" w:hint="default"/>
      </w:rPr>
    </w:lvl>
    <w:lvl w:ilvl="1" w:tplc="B9F2183A">
      <w:start w:val="4"/>
      <w:numFmt w:val="upperLetter"/>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D861527"/>
    <w:multiLevelType w:val="hybridMultilevel"/>
    <w:tmpl w:val="58BA423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5DFE368B"/>
    <w:multiLevelType w:val="multilevel"/>
    <w:tmpl w:val="018A5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i w:val="0"/>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26" w15:restartNumberingAfterBreak="0">
    <w:nsid w:val="5F6B66CC"/>
    <w:multiLevelType w:val="hybridMultilevel"/>
    <w:tmpl w:val="F566D3C2"/>
    <w:lvl w:ilvl="0" w:tplc="0EC051F8">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9F1F66"/>
    <w:multiLevelType w:val="hybridMultilevel"/>
    <w:tmpl w:val="62CEEBF2"/>
    <w:lvl w:ilvl="0" w:tplc="6E46D6A0">
      <w:start w:val="13"/>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4916456"/>
    <w:multiLevelType w:val="hybridMultilevel"/>
    <w:tmpl w:val="8A02D6B6"/>
    <w:lvl w:ilvl="0" w:tplc="59D0F5C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6DC3FF6"/>
    <w:multiLevelType w:val="hybridMultilevel"/>
    <w:tmpl w:val="7B88A2A2"/>
    <w:lvl w:ilvl="0" w:tplc="04090001">
      <w:start w:val="1"/>
      <w:numFmt w:val="bullet"/>
      <w:lvlText w:val=""/>
      <w:lvlJc w:val="left"/>
      <w:pPr>
        <w:tabs>
          <w:tab w:val="num" w:pos="360"/>
        </w:tabs>
        <w:ind w:left="360" w:hanging="360"/>
      </w:pPr>
      <w:rPr>
        <w:rFonts w:ascii="Symbol" w:hAnsi="Symbol" w:hint="default"/>
      </w:rPr>
    </w:lvl>
    <w:lvl w:ilvl="1" w:tplc="815AEE96">
      <w:start w:val="2"/>
      <w:numFmt w:val="upperLetter"/>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7B15117"/>
    <w:multiLevelType w:val="hybridMultilevel"/>
    <w:tmpl w:val="9F5634F4"/>
    <w:lvl w:ilvl="0" w:tplc="EEF8281A">
      <w:start w:val="1"/>
      <w:numFmt w:val="decimal"/>
      <w:lvlText w:val="%1."/>
      <w:lvlJc w:val="right"/>
      <w:pPr>
        <w:tabs>
          <w:tab w:val="num" w:pos="720"/>
        </w:tabs>
        <w:ind w:left="720" w:hanging="180"/>
      </w:pPr>
      <w:rPr>
        <w:rFonts w:hint="default"/>
      </w:rPr>
    </w:lvl>
    <w:lvl w:ilvl="1" w:tplc="040C0015">
      <w:start w:val="1"/>
      <w:numFmt w:val="upperLetter"/>
      <w:lvlText w:val="%2."/>
      <w:lvlJc w:val="left"/>
      <w:pPr>
        <w:tabs>
          <w:tab w:val="num" w:pos="1440"/>
        </w:tabs>
        <w:ind w:left="1440" w:hanging="360"/>
      </w:pPr>
      <w:rPr>
        <w:rFonts w:hint="default"/>
      </w:rPr>
    </w:lvl>
    <w:lvl w:ilvl="2" w:tplc="040C000B">
      <w:start w:val="1"/>
      <w:numFmt w:val="bullet"/>
      <w:lvlText w:val=""/>
      <w:lvlJc w:val="left"/>
      <w:pPr>
        <w:tabs>
          <w:tab w:val="num" w:pos="2340"/>
        </w:tabs>
        <w:ind w:left="2340" w:hanging="360"/>
      </w:pPr>
      <w:rPr>
        <w:rFonts w:ascii="Wingdings" w:hAnsi="Wingding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15:restartNumberingAfterBreak="0">
    <w:nsid w:val="68FD0C9D"/>
    <w:multiLevelType w:val="hybridMultilevel"/>
    <w:tmpl w:val="1D6E464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6B4A3CF4"/>
    <w:multiLevelType w:val="hybridMultilevel"/>
    <w:tmpl w:val="26AC1784"/>
    <w:lvl w:ilvl="0" w:tplc="A6CA453E">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9EA076">
      <w:start w:val="1"/>
      <w:numFmt w:val="bullet"/>
      <w:lvlText w:val="o"/>
      <w:lvlJc w:val="left"/>
      <w:pPr>
        <w:ind w:left="144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2" w:tplc="73980888">
      <w:start w:val="1"/>
      <w:numFmt w:val="bullet"/>
      <w:lvlText w:val="▪"/>
      <w:lvlJc w:val="left"/>
      <w:pPr>
        <w:ind w:left="216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3" w:tplc="CB0C047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58E79B2">
      <w:start w:val="1"/>
      <w:numFmt w:val="bullet"/>
      <w:lvlText w:val="o"/>
      <w:lvlJc w:val="left"/>
      <w:pPr>
        <w:ind w:left="360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5" w:tplc="25A0D1D4">
      <w:start w:val="1"/>
      <w:numFmt w:val="bullet"/>
      <w:lvlText w:val="▪"/>
      <w:lvlJc w:val="left"/>
      <w:pPr>
        <w:ind w:left="432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6" w:tplc="3E70984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A3A1698">
      <w:start w:val="1"/>
      <w:numFmt w:val="bullet"/>
      <w:lvlText w:val="o"/>
      <w:lvlJc w:val="left"/>
      <w:pPr>
        <w:ind w:left="576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8" w:tplc="2B42CCF6">
      <w:start w:val="1"/>
      <w:numFmt w:val="bullet"/>
      <w:lvlText w:val="▪"/>
      <w:lvlJc w:val="left"/>
      <w:pPr>
        <w:ind w:left="6480"/>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6E046CCC"/>
    <w:multiLevelType w:val="hybridMultilevel"/>
    <w:tmpl w:val="1A64BE7E"/>
    <w:lvl w:ilvl="0" w:tplc="6E46D6A0">
      <w:start w:val="1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3D6FE4"/>
    <w:multiLevelType w:val="hybridMultilevel"/>
    <w:tmpl w:val="85629C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1C3A84"/>
    <w:multiLevelType w:val="hybridMultilevel"/>
    <w:tmpl w:val="AF9C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3DA47A7"/>
    <w:multiLevelType w:val="hybridMultilevel"/>
    <w:tmpl w:val="AF9C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4A654FE"/>
    <w:multiLevelType w:val="hybridMultilevel"/>
    <w:tmpl w:val="F1CE331E"/>
    <w:lvl w:ilvl="0" w:tplc="040C000B">
      <w:start w:val="1"/>
      <w:numFmt w:val="bullet"/>
      <w:lvlText w:val=""/>
      <w:lvlJc w:val="left"/>
      <w:pPr>
        <w:ind w:left="720" w:hanging="360"/>
      </w:pPr>
      <w:rPr>
        <w:rFonts w:ascii="Wingdings" w:hAnsi="Wingdings" w:hint="default"/>
      </w:rPr>
    </w:lvl>
    <w:lvl w:ilvl="1" w:tplc="7250E590">
      <w:numFmt w:val="bullet"/>
      <w:lvlText w:val="-"/>
      <w:lvlJc w:val="left"/>
      <w:pPr>
        <w:ind w:left="1440" w:hanging="360"/>
      </w:pPr>
      <w:rPr>
        <w:rFonts w:ascii="Comic Sans MS" w:eastAsia="Times New Roman" w:hAnsi="Comic Sans MS" w:cs="Mang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A1391D"/>
    <w:multiLevelType w:val="multilevel"/>
    <w:tmpl w:val="F4864EA6"/>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4C381B"/>
    <w:multiLevelType w:val="multilevel"/>
    <w:tmpl w:val="656E8A9A"/>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DD35377"/>
    <w:multiLevelType w:val="multilevel"/>
    <w:tmpl w:val="7AF0D988"/>
    <w:lvl w:ilvl="0">
      <w:start w:val="1"/>
      <w:numFmt w:val="bullet"/>
      <w:lvlText w:val=""/>
      <w:lvlJc w:val="left"/>
      <w:pPr>
        <w:ind w:left="1472" w:hanging="48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25"/>
  </w:num>
  <w:num w:numId="3">
    <w:abstractNumId w:val="30"/>
  </w:num>
  <w:num w:numId="4">
    <w:abstractNumId w:val="8"/>
  </w:num>
  <w:num w:numId="5">
    <w:abstractNumId w:val="12"/>
  </w:num>
  <w:num w:numId="6">
    <w:abstractNumId w:val="16"/>
  </w:num>
  <w:num w:numId="7">
    <w:abstractNumId w:val="17"/>
  </w:num>
  <w:num w:numId="8">
    <w:abstractNumId w:val="29"/>
  </w:num>
  <w:num w:numId="9">
    <w:abstractNumId w:val="21"/>
  </w:num>
  <w:num w:numId="10">
    <w:abstractNumId w:val="23"/>
  </w:num>
  <w:num w:numId="11">
    <w:abstractNumId w:val="15"/>
  </w:num>
  <w:num w:numId="12">
    <w:abstractNumId w:val="10"/>
  </w:num>
  <w:num w:numId="13">
    <w:abstractNumId w:val="11"/>
  </w:num>
  <w:num w:numId="14">
    <w:abstractNumId w:val="22"/>
  </w:num>
  <w:num w:numId="15">
    <w:abstractNumId w:val="4"/>
  </w:num>
  <w:num w:numId="16">
    <w:abstractNumId w:val="5"/>
  </w:num>
  <w:num w:numId="17">
    <w:abstractNumId w:val="2"/>
  </w:num>
  <w:num w:numId="18">
    <w:abstractNumId w:val="3"/>
  </w:num>
  <w:num w:numId="19">
    <w:abstractNumId w:val="14"/>
  </w:num>
  <w:num w:numId="20">
    <w:abstractNumId w:val="31"/>
  </w:num>
  <w:num w:numId="21">
    <w:abstractNumId w:val="20"/>
  </w:num>
  <w:num w:numId="22">
    <w:abstractNumId w:val="13"/>
  </w:num>
  <w:num w:numId="23">
    <w:abstractNumId w:val="34"/>
  </w:num>
  <w:num w:numId="24">
    <w:abstractNumId w:val="1"/>
  </w:num>
  <w:num w:numId="25">
    <w:abstractNumId w:val="26"/>
  </w:num>
  <w:num w:numId="26">
    <w:abstractNumId w:val="40"/>
  </w:num>
  <w:num w:numId="27">
    <w:abstractNumId w:val="6"/>
  </w:num>
  <w:num w:numId="28">
    <w:abstractNumId w:val="39"/>
  </w:num>
  <w:num w:numId="29">
    <w:abstractNumId w:val="37"/>
  </w:num>
  <w:num w:numId="30">
    <w:abstractNumId w:val="28"/>
  </w:num>
  <w:num w:numId="31">
    <w:abstractNumId w:val="7"/>
  </w:num>
  <w:num w:numId="32">
    <w:abstractNumId w:val="36"/>
  </w:num>
  <w:num w:numId="33">
    <w:abstractNumId w:val="35"/>
  </w:num>
  <w:num w:numId="34">
    <w:abstractNumId w:val="38"/>
  </w:num>
  <w:num w:numId="35">
    <w:abstractNumId w:val="19"/>
  </w:num>
  <w:num w:numId="36">
    <w:abstractNumId w:val="24"/>
  </w:num>
  <w:num w:numId="37">
    <w:abstractNumId w:val="27"/>
  </w:num>
  <w:num w:numId="38">
    <w:abstractNumId w:val="33"/>
  </w:num>
  <w:num w:numId="39">
    <w:abstractNumId w:val="32"/>
  </w:num>
  <w:num w:numId="40">
    <w:abstractNumId w:val="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A0"/>
    <w:rsid w:val="00000729"/>
    <w:rsid w:val="000008A2"/>
    <w:rsid w:val="00000E2A"/>
    <w:rsid w:val="00002260"/>
    <w:rsid w:val="00002840"/>
    <w:rsid w:val="00003EAE"/>
    <w:rsid w:val="000045A6"/>
    <w:rsid w:val="000049A7"/>
    <w:rsid w:val="00005358"/>
    <w:rsid w:val="00005E16"/>
    <w:rsid w:val="0000639F"/>
    <w:rsid w:val="00006DF8"/>
    <w:rsid w:val="00007995"/>
    <w:rsid w:val="000108DB"/>
    <w:rsid w:val="00011E0D"/>
    <w:rsid w:val="00011F34"/>
    <w:rsid w:val="0001203A"/>
    <w:rsid w:val="000125F7"/>
    <w:rsid w:val="00012BF1"/>
    <w:rsid w:val="00012CA2"/>
    <w:rsid w:val="00012ED5"/>
    <w:rsid w:val="00013927"/>
    <w:rsid w:val="00013A52"/>
    <w:rsid w:val="00014387"/>
    <w:rsid w:val="000144A9"/>
    <w:rsid w:val="00014D81"/>
    <w:rsid w:val="0001545B"/>
    <w:rsid w:val="00015A6E"/>
    <w:rsid w:val="00016148"/>
    <w:rsid w:val="00016555"/>
    <w:rsid w:val="000165AC"/>
    <w:rsid w:val="00020308"/>
    <w:rsid w:val="00022397"/>
    <w:rsid w:val="00023A1B"/>
    <w:rsid w:val="00023D85"/>
    <w:rsid w:val="00024390"/>
    <w:rsid w:val="000243A7"/>
    <w:rsid w:val="000247EE"/>
    <w:rsid w:val="00024F33"/>
    <w:rsid w:val="000259B5"/>
    <w:rsid w:val="00026B48"/>
    <w:rsid w:val="00026DDB"/>
    <w:rsid w:val="00027157"/>
    <w:rsid w:val="00027659"/>
    <w:rsid w:val="0002785E"/>
    <w:rsid w:val="00030A75"/>
    <w:rsid w:val="00033623"/>
    <w:rsid w:val="000341F1"/>
    <w:rsid w:val="00035466"/>
    <w:rsid w:val="000375DA"/>
    <w:rsid w:val="00040A6B"/>
    <w:rsid w:val="000428CA"/>
    <w:rsid w:val="00043ADF"/>
    <w:rsid w:val="00044175"/>
    <w:rsid w:val="00044285"/>
    <w:rsid w:val="000444EA"/>
    <w:rsid w:val="00045002"/>
    <w:rsid w:val="00045FDF"/>
    <w:rsid w:val="00046A7E"/>
    <w:rsid w:val="00047E68"/>
    <w:rsid w:val="000515A3"/>
    <w:rsid w:val="00052BC4"/>
    <w:rsid w:val="00052CA6"/>
    <w:rsid w:val="0005444F"/>
    <w:rsid w:val="000551AC"/>
    <w:rsid w:val="0005554A"/>
    <w:rsid w:val="000566F1"/>
    <w:rsid w:val="00056996"/>
    <w:rsid w:val="00060D79"/>
    <w:rsid w:val="00060EFC"/>
    <w:rsid w:val="000615C3"/>
    <w:rsid w:val="00061ACB"/>
    <w:rsid w:val="00061C82"/>
    <w:rsid w:val="00061CAA"/>
    <w:rsid w:val="000636FF"/>
    <w:rsid w:val="00064442"/>
    <w:rsid w:val="000657CE"/>
    <w:rsid w:val="00065CBC"/>
    <w:rsid w:val="00065FB3"/>
    <w:rsid w:val="00067641"/>
    <w:rsid w:val="00070056"/>
    <w:rsid w:val="00071526"/>
    <w:rsid w:val="00071AF0"/>
    <w:rsid w:val="00071F7D"/>
    <w:rsid w:val="00072595"/>
    <w:rsid w:val="00072868"/>
    <w:rsid w:val="00073DCD"/>
    <w:rsid w:val="0007499D"/>
    <w:rsid w:val="00074DE9"/>
    <w:rsid w:val="000750D8"/>
    <w:rsid w:val="00075404"/>
    <w:rsid w:val="000755BE"/>
    <w:rsid w:val="000761FA"/>
    <w:rsid w:val="0007670E"/>
    <w:rsid w:val="0007714C"/>
    <w:rsid w:val="0008007B"/>
    <w:rsid w:val="00080328"/>
    <w:rsid w:val="000809C0"/>
    <w:rsid w:val="00080BFD"/>
    <w:rsid w:val="00081095"/>
    <w:rsid w:val="0008263E"/>
    <w:rsid w:val="00083F34"/>
    <w:rsid w:val="000844D5"/>
    <w:rsid w:val="00085907"/>
    <w:rsid w:val="00085C07"/>
    <w:rsid w:val="00085F50"/>
    <w:rsid w:val="00090C08"/>
    <w:rsid w:val="0009214F"/>
    <w:rsid w:val="00092E90"/>
    <w:rsid w:val="000933A1"/>
    <w:rsid w:val="00093B68"/>
    <w:rsid w:val="00093C9B"/>
    <w:rsid w:val="00095802"/>
    <w:rsid w:val="00095B22"/>
    <w:rsid w:val="00096311"/>
    <w:rsid w:val="00096CB1"/>
    <w:rsid w:val="000A049E"/>
    <w:rsid w:val="000A0859"/>
    <w:rsid w:val="000A0A25"/>
    <w:rsid w:val="000A0B67"/>
    <w:rsid w:val="000A1168"/>
    <w:rsid w:val="000A2149"/>
    <w:rsid w:val="000A27A2"/>
    <w:rsid w:val="000A35B5"/>
    <w:rsid w:val="000A3A0E"/>
    <w:rsid w:val="000A3A90"/>
    <w:rsid w:val="000A49D8"/>
    <w:rsid w:val="000A53DD"/>
    <w:rsid w:val="000A55DB"/>
    <w:rsid w:val="000A5A03"/>
    <w:rsid w:val="000A6021"/>
    <w:rsid w:val="000A6541"/>
    <w:rsid w:val="000A7509"/>
    <w:rsid w:val="000B07EB"/>
    <w:rsid w:val="000B099D"/>
    <w:rsid w:val="000B1917"/>
    <w:rsid w:val="000B2E4F"/>
    <w:rsid w:val="000B4A49"/>
    <w:rsid w:val="000B51D8"/>
    <w:rsid w:val="000B5BB7"/>
    <w:rsid w:val="000B5EEC"/>
    <w:rsid w:val="000B6420"/>
    <w:rsid w:val="000B6550"/>
    <w:rsid w:val="000B6839"/>
    <w:rsid w:val="000B6F52"/>
    <w:rsid w:val="000C08A3"/>
    <w:rsid w:val="000C1DD1"/>
    <w:rsid w:val="000C247B"/>
    <w:rsid w:val="000C26C5"/>
    <w:rsid w:val="000C3168"/>
    <w:rsid w:val="000C3E45"/>
    <w:rsid w:val="000C4996"/>
    <w:rsid w:val="000C4BCD"/>
    <w:rsid w:val="000C542E"/>
    <w:rsid w:val="000C5D21"/>
    <w:rsid w:val="000C641E"/>
    <w:rsid w:val="000C67E4"/>
    <w:rsid w:val="000C6E18"/>
    <w:rsid w:val="000C6E37"/>
    <w:rsid w:val="000C702D"/>
    <w:rsid w:val="000C7288"/>
    <w:rsid w:val="000C7718"/>
    <w:rsid w:val="000D157E"/>
    <w:rsid w:val="000D16FE"/>
    <w:rsid w:val="000D2139"/>
    <w:rsid w:val="000D2881"/>
    <w:rsid w:val="000D4B82"/>
    <w:rsid w:val="000D4D73"/>
    <w:rsid w:val="000D621F"/>
    <w:rsid w:val="000D63C1"/>
    <w:rsid w:val="000D66F3"/>
    <w:rsid w:val="000D722C"/>
    <w:rsid w:val="000D7610"/>
    <w:rsid w:val="000D79F7"/>
    <w:rsid w:val="000D7A5C"/>
    <w:rsid w:val="000E04ED"/>
    <w:rsid w:val="000E0E5F"/>
    <w:rsid w:val="000E10A5"/>
    <w:rsid w:val="000E2276"/>
    <w:rsid w:val="000E2FB7"/>
    <w:rsid w:val="000E475E"/>
    <w:rsid w:val="000E4B13"/>
    <w:rsid w:val="000E4DD2"/>
    <w:rsid w:val="000E5121"/>
    <w:rsid w:val="000E535F"/>
    <w:rsid w:val="000E5926"/>
    <w:rsid w:val="000E6335"/>
    <w:rsid w:val="000E65B3"/>
    <w:rsid w:val="000E7893"/>
    <w:rsid w:val="000E7A06"/>
    <w:rsid w:val="000F11DE"/>
    <w:rsid w:val="000F1B98"/>
    <w:rsid w:val="000F243C"/>
    <w:rsid w:val="000F4043"/>
    <w:rsid w:val="000F46E3"/>
    <w:rsid w:val="000F50A5"/>
    <w:rsid w:val="000F535A"/>
    <w:rsid w:val="000F5860"/>
    <w:rsid w:val="000F5BB8"/>
    <w:rsid w:val="000F5F93"/>
    <w:rsid w:val="000F7633"/>
    <w:rsid w:val="000F76FB"/>
    <w:rsid w:val="000F7739"/>
    <w:rsid w:val="000F779C"/>
    <w:rsid w:val="000F7A0E"/>
    <w:rsid w:val="00100183"/>
    <w:rsid w:val="001002A6"/>
    <w:rsid w:val="00100AAD"/>
    <w:rsid w:val="00100B5F"/>
    <w:rsid w:val="00100EE6"/>
    <w:rsid w:val="00101543"/>
    <w:rsid w:val="0010160C"/>
    <w:rsid w:val="00101800"/>
    <w:rsid w:val="00101841"/>
    <w:rsid w:val="00103F0F"/>
    <w:rsid w:val="00104969"/>
    <w:rsid w:val="00105D9C"/>
    <w:rsid w:val="00106245"/>
    <w:rsid w:val="0010679D"/>
    <w:rsid w:val="0010698A"/>
    <w:rsid w:val="001072F8"/>
    <w:rsid w:val="0011115A"/>
    <w:rsid w:val="00111847"/>
    <w:rsid w:val="00111E74"/>
    <w:rsid w:val="00112378"/>
    <w:rsid w:val="00112590"/>
    <w:rsid w:val="001125FC"/>
    <w:rsid w:val="00114240"/>
    <w:rsid w:val="00114452"/>
    <w:rsid w:val="001152D1"/>
    <w:rsid w:val="001158A8"/>
    <w:rsid w:val="001162AE"/>
    <w:rsid w:val="001176DA"/>
    <w:rsid w:val="001201E9"/>
    <w:rsid w:val="00121983"/>
    <w:rsid w:val="00122D91"/>
    <w:rsid w:val="00122F43"/>
    <w:rsid w:val="00123EFC"/>
    <w:rsid w:val="0012481F"/>
    <w:rsid w:val="00124B1B"/>
    <w:rsid w:val="00126599"/>
    <w:rsid w:val="001271F4"/>
    <w:rsid w:val="0012721E"/>
    <w:rsid w:val="0012772F"/>
    <w:rsid w:val="001300B3"/>
    <w:rsid w:val="001304F7"/>
    <w:rsid w:val="001307D0"/>
    <w:rsid w:val="001311D5"/>
    <w:rsid w:val="00131852"/>
    <w:rsid w:val="00131E7F"/>
    <w:rsid w:val="00132E59"/>
    <w:rsid w:val="0013354A"/>
    <w:rsid w:val="00133601"/>
    <w:rsid w:val="00133A90"/>
    <w:rsid w:val="0013454E"/>
    <w:rsid w:val="001346E4"/>
    <w:rsid w:val="00135DA6"/>
    <w:rsid w:val="00136102"/>
    <w:rsid w:val="0013740E"/>
    <w:rsid w:val="001377EF"/>
    <w:rsid w:val="00137B76"/>
    <w:rsid w:val="00137BF0"/>
    <w:rsid w:val="00137FD1"/>
    <w:rsid w:val="00140DB0"/>
    <w:rsid w:val="00141718"/>
    <w:rsid w:val="00141863"/>
    <w:rsid w:val="00141A07"/>
    <w:rsid w:val="00142BBA"/>
    <w:rsid w:val="00143BE8"/>
    <w:rsid w:val="00143DCF"/>
    <w:rsid w:val="00144F92"/>
    <w:rsid w:val="00145557"/>
    <w:rsid w:val="0014597A"/>
    <w:rsid w:val="00145BB6"/>
    <w:rsid w:val="00146204"/>
    <w:rsid w:val="001504EF"/>
    <w:rsid w:val="00150716"/>
    <w:rsid w:val="00150CDC"/>
    <w:rsid w:val="00150D2C"/>
    <w:rsid w:val="0015135F"/>
    <w:rsid w:val="00151B45"/>
    <w:rsid w:val="00152C31"/>
    <w:rsid w:val="001531D9"/>
    <w:rsid w:val="00153D07"/>
    <w:rsid w:val="001546E4"/>
    <w:rsid w:val="001551CE"/>
    <w:rsid w:val="001567B9"/>
    <w:rsid w:val="00157418"/>
    <w:rsid w:val="00157886"/>
    <w:rsid w:val="00160874"/>
    <w:rsid w:val="00161606"/>
    <w:rsid w:val="001622B8"/>
    <w:rsid w:val="00162A83"/>
    <w:rsid w:val="00162BF1"/>
    <w:rsid w:val="00162CB1"/>
    <w:rsid w:val="00163FDE"/>
    <w:rsid w:val="001654C9"/>
    <w:rsid w:val="00166975"/>
    <w:rsid w:val="001673C3"/>
    <w:rsid w:val="00167A83"/>
    <w:rsid w:val="0017072F"/>
    <w:rsid w:val="00171307"/>
    <w:rsid w:val="00172098"/>
    <w:rsid w:val="00172BCA"/>
    <w:rsid w:val="00173902"/>
    <w:rsid w:val="001751E6"/>
    <w:rsid w:val="00177528"/>
    <w:rsid w:val="00177D71"/>
    <w:rsid w:val="0018108E"/>
    <w:rsid w:val="001828DB"/>
    <w:rsid w:val="00182CB0"/>
    <w:rsid w:val="0018318D"/>
    <w:rsid w:val="001831AC"/>
    <w:rsid w:val="0018364D"/>
    <w:rsid w:val="00183991"/>
    <w:rsid w:val="001841DB"/>
    <w:rsid w:val="00185781"/>
    <w:rsid w:val="00185A52"/>
    <w:rsid w:val="00185BB1"/>
    <w:rsid w:val="00186A9B"/>
    <w:rsid w:val="00186EC4"/>
    <w:rsid w:val="001870E6"/>
    <w:rsid w:val="001901B5"/>
    <w:rsid w:val="001913C4"/>
    <w:rsid w:val="00192D37"/>
    <w:rsid w:val="001934B4"/>
    <w:rsid w:val="00193D78"/>
    <w:rsid w:val="00193EA5"/>
    <w:rsid w:val="0019478F"/>
    <w:rsid w:val="0019496B"/>
    <w:rsid w:val="001949FD"/>
    <w:rsid w:val="00194F0A"/>
    <w:rsid w:val="0019628C"/>
    <w:rsid w:val="0019694D"/>
    <w:rsid w:val="00196969"/>
    <w:rsid w:val="00196CAA"/>
    <w:rsid w:val="00197762"/>
    <w:rsid w:val="00197F61"/>
    <w:rsid w:val="001A03D3"/>
    <w:rsid w:val="001A0AEF"/>
    <w:rsid w:val="001A22AB"/>
    <w:rsid w:val="001A35F4"/>
    <w:rsid w:val="001A3604"/>
    <w:rsid w:val="001A379E"/>
    <w:rsid w:val="001A438D"/>
    <w:rsid w:val="001A62BE"/>
    <w:rsid w:val="001A6D88"/>
    <w:rsid w:val="001B3BD8"/>
    <w:rsid w:val="001B4292"/>
    <w:rsid w:val="001B4BA6"/>
    <w:rsid w:val="001B4EDA"/>
    <w:rsid w:val="001B5560"/>
    <w:rsid w:val="001B5A68"/>
    <w:rsid w:val="001B5ADE"/>
    <w:rsid w:val="001B61D1"/>
    <w:rsid w:val="001B69E6"/>
    <w:rsid w:val="001B71BA"/>
    <w:rsid w:val="001C0C93"/>
    <w:rsid w:val="001C248D"/>
    <w:rsid w:val="001C32FF"/>
    <w:rsid w:val="001C3A05"/>
    <w:rsid w:val="001C4C12"/>
    <w:rsid w:val="001C5861"/>
    <w:rsid w:val="001C64F5"/>
    <w:rsid w:val="001C66A1"/>
    <w:rsid w:val="001C6A3D"/>
    <w:rsid w:val="001C6BDD"/>
    <w:rsid w:val="001C6CE7"/>
    <w:rsid w:val="001C6D41"/>
    <w:rsid w:val="001C7F61"/>
    <w:rsid w:val="001D0006"/>
    <w:rsid w:val="001D0BAB"/>
    <w:rsid w:val="001D0CF7"/>
    <w:rsid w:val="001D309A"/>
    <w:rsid w:val="001D3D0B"/>
    <w:rsid w:val="001D49CD"/>
    <w:rsid w:val="001D4A0A"/>
    <w:rsid w:val="001D4AB1"/>
    <w:rsid w:val="001D4F94"/>
    <w:rsid w:val="001D5805"/>
    <w:rsid w:val="001D5E9D"/>
    <w:rsid w:val="001E1E8A"/>
    <w:rsid w:val="001E1F3A"/>
    <w:rsid w:val="001E31EC"/>
    <w:rsid w:val="001E4DF2"/>
    <w:rsid w:val="001E626C"/>
    <w:rsid w:val="001E6889"/>
    <w:rsid w:val="001E6E8C"/>
    <w:rsid w:val="001F02A6"/>
    <w:rsid w:val="001F0606"/>
    <w:rsid w:val="001F0F2A"/>
    <w:rsid w:val="001F1516"/>
    <w:rsid w:val="001F1E9C"/>
    <w:rsid w:val="001F24A1"/>
    <w:rsid w:val="001F3037"/>
    <w:rsid w:val="001F42A0"/>
    <w:rsid w:val="001F4500"/>
    <w:rsid w:val="001F5662"/>
    <w:rsid w:val="001F591C"/>
    <w:rsid w:val="001F6889"/>
    <w:rsid w:val="001F6EE9"/>
    <w:rsid w:val="001F6FB0"/>
    <w:rsid w:val="00201202"/>
    <w:rsid w:val="00201AE8"/>
    <w:rsid w:val="00201C97"/>
    <w:rsid w:val="00201CFA"/>
    <w:rsid w:val="00202B24"/>
    <w:rsid w:val="00202B9F"/>
    <w:rsid w:val="00202E51"/>
    <w:rsid w:val="00202F9B"/>
    <w:rsid w:val="00203292"/>
    <w:rsid w:val="0020634B"/>
    <w:rsid w:val="0020746C"/>
    <w:rsid w:val="002078EA"/>
    <w:rsid w:val="00210183"/>
    <w:rsid w:val="00211E33"/>
    <w:rsid w:val="00212C9B"/>
    <w:rsid w:val="00212F5F"/>
    <w:rsid w:val="00213930"/>
    <w:rsid w:val="00213A93"/>
    <w:rsid w:val="00213EF0"/>
    <w:rsid w:val="00213F90"/>
    <w:rsid w:val="00215516"/>
    <w:rsid w:val="0021600F"/>
    <w:rsid w:val="00216A16"/>
    <w:rsid w:val="00216C03"/>
    <w:rsid w:val="0021751C"/>
    <w:rsid w:val="00217E04"/>
    <w:rsid w:val="0022028B"/>
    <w:rsid w:val="002208C9"/>
    <w:rsid w:val="00221351"/>
    <w:rsid w:val="002221E9"/>
    <w:rsid w:val="00222985"/>
    <w:rsid w:val="00223E77"/>
    <w:rsid w:val="0022487D"/>
    <w:rsid w:val="00224FBA"/>
    <w:rsid w:val="00226D21"/>
    <w:rsid w:val="0022713A"/>
    <w:rsid w:val="00227249"/>
    <w:rsid w:val="00230CEB"/>
    <w:rsid w:val="00231B5B"/>
    <w:rsid w:val="002322FD"/>
    <w:rsid w:val="00232404"/>
    <w:rsid w:val="00232614"/>
    <w:rsid w:val="00232F1B"/>
    <w:rsid w:val="002330BE"/>
    <w:rsid w:val="00233330"/>
    <w:rsid w:val="002335ED"/>
    <w:rsid w:val="00233CCB"/>
    <w:rsid w:val="00233EB4"/>
    <w:rsid w:val="002340F1"/>
    <w:rsid w:val="0023758D"/>
    <w:rsid w:val="00237F93"/>
    <w:rsid w:val="00240379"/>
    <w:rsid w:val="0024056B"/>
    <w:rsid w:val="00240793"/>
    <w:rsid w:val="00240A9E"/>
    <w:rsid w:val="00240D4C"/>
    <w:rsid w:val="00241B32"/>
    <w:rsid w:val="0024250A"/>
    <w:rsid w:val="00243A72"/>
    <w:rsid w:val="00243E59"/>
    <w:rsid w:val="00243E99"/>
    <w:rsid w:val="002442B2"/>
    <w:rsid w:val="00244756"/>
    <w:rsid w:val="00245F6A"/>
    <w:rsid w:val="0025004B"/>
    <w:rsid w:val="00250147"/>
    <w:rsid w:val="00252FCA"/>
    <w:rsid w:val="00253F51"/>
    <w:rsid w:val="00254C60"/>
    <w:rsid w:val="00255996"/>
    <w:rsid w:val="00256147"/>
    <w:rsid w:val="00256748"/>
    <w:rsid w:val="00257CAB"/>
    <w:rsid w:val="00261548"/>
    <w:rsid w:val="00262A34"/>
    <w:rsid w:val="00263B3C"/>
    <w:rsid w:val="002649EF"/>
    <w:rsid w:val="00264C48"/>
    <w:rsid w:val="00266EE8"/>
    <w:rsid w:val="00270F04"/>
    <w:rsid w:val="0027120E"/>
    <w:rsid w:val="002715FB"/>
    <w:rsid w:val="00272839"/>
    <w:rsid w:val="002734D1"/>
    <w:rsid w:val="00275211"/>
    <w:rsid w:val="00275818"/>
    <w:rsid w:val="00275CE2"/>
    <w:rsid w:val="00275F09"/>
    <w:rsid w:val="002761F2"/>
    <w:rsid w:val="00277735"/>
    <w:rsid w:val="00280BAE"/>
    <w:rsid w:val="002819EA"/>
    <w:rsid w:val="002821EB"/>
    <w:rsid w:val="00283038"/>
    <w:rsid w:val="0028478F"/>
    <w:rsid w:val="00284C02"/>
    <w:rsid w:val="00284C1A"/>
    <w:rsid w:val="00285289"/>
    <w:rsid w:val="00287542"/>
    <w:rsid w:val="00290CC0"/>
    <w:rsid w:val="00291640"/>
    <w:rsid w:val="00291A28"/>
    <w:rsid w:val="00291EA6"/>
    <w:rsid w:val="00292628"/>
    <w:rsid w:val="002931F9"/>
    <w:rsid w:val="002951F5"/>
    <w:rsid w:val="00295D97"/>
    <w:rsid w:val="002967C5"/>
    <w:rsid w:val="00296F15"/>
    <w:rsid w:val="00297B83"/>
    <w:rsid w:val="00297DF0"/>
    <w:rsid w:val="002A0753"/>
    <w:rsid w:val="002A0C2C"/>
    <w:rsid w:val="002A1B0E"/>
    <w:rsid w:val="002A205B"/>
    <w:rsid w:val="002A2C54"/>
    <w:rsid w:val="002A41F2"/>
    <w:rsid w:val="002A433C"/>
    <w:rsid w:val="002A5473"/>
    <w:rsid w:val="002A71E9"/>
    <w:rsid w:val="002A7E7D"/>
    <w:rsid w:val="002B01F5"/>
    <w:rsid w:val="002B0643"/>
    <w:rsid w:val="002B183C"/>
    <w:rsid w:val="002B24F8"/>
    <w:rsid w:val="002B2621"/>
    <w:rsid w:val="002B271F"/>
    <w:rsid w:val="002B2F8F"/>
    <w:rsid w:val="002B350D"/>
    <w:rsid w:val="002B37B3"/>
    <w:rsid w:val="002B3FAE"/>
    <w:rsid w:val="002B3FE8"/>
    <w:rsid w:val="002B49DD"/>
    <w:rsid w:val="002B567D"/>
    <w:rsid w:val="002B6B52"/>
    <w:rsid w:val="002B6D8E"/>
    <w:rsid w:val="002B72DD"/>
    <w:rsid w:val="002B7CDB"/>
    <w:rsid w:val="002C0400"/>
    <w:rsid w:val="002C04A2"/>
    <w:rsid w:val="002C206C"/>
    <w:rsid w:val="002C2275"/>
    <w:rsid w:val="002C2300"/>
    <w:rsid w:val="002C2DF6"/>
    <w:rsid w:val="002C3751"/>
    <w:rsid w:val="002C416F"/>
    <w:rsid w:val="002C6591"/>
    <w:rsid w:val="002C6728"/>
    <w:rsid w:val="002C6AD6"/>
    <w:rsid w:val="002C7FC3"/>
    <w:rsid w:val="002D0BCE"/>
    <w:rsid w:val="002D136F"/>
    <w:rsid w:val="002D191F"/>
    <w:rsid w:val="002D307B"/>
    <w:rsid w:val="002D335D"/>
    <w:rsid w:val="002D3F2F"/>
    <w:rsid w:val="002D6979"/>
    <w:rsid w:val="002E1959"/>
    <w:rsid w:val="002E1ECD"/>
    <w:rsid w:val="002E2542"/>
    <w:rsid w:val="002E2718"/>
    <w:rsid w:val="002E2763"/>
    <w:rsid w:val="002E287C"/>
    <w:rsid w:val="002E29D3"/>
    <w:rsid w:val="002E3259"/>
    <w:rsid w:val="002E3EBD"/>
    <w:rsid w:val="002E4989"/>
    <w:rsid w:val="002E7322"/>
    <w:rsid w:val="002E7A7E"/>
    <w:rsid w:val="002F07F0"/>
    <w:rsid w:val="002F0827"/>
    <w:rsid w:val="002F0915"/>
    <w:rsid w:val="002F0FBD"/>
    <w:rsid w:val="002F1875"/>
    <w:rsid w:val="002F2971"/>
    <w:rsid w:val="002F3828"/>
    <w:rsid w:val="002F3AC6"/>
    <w:rsid w:val="002F417B"/>
    <w:rsid w:val="002F44A2"/>
    <w:rsid w:val="002F5801"/>
    <w:rsid w:val="002F59E2"/>
    <w:rsid w:val="002F5E88"/>
    <w:rsid w:val="002F66E7"/>
    <w:rsid w:val="002F777B"/>
    <w:rsid w:val="002F7892"/>
    <w:rsid w:val="002F7B42"/>
    <w:rsid w:val="0030035E"/>
    <w:rsid w:val="00300A24"/>
    <w:rsid w:val="00302B62"/>
    <w:rsid w:val="00303880"/>
    <w:rsid w:val="00303B30"/>
    <w:rsid w:val="0030424C"/>
    <w:rsid w:val="00305434"/>
    <w:rsid w:val="00305D8E"/>
    <w:rsid w:val="0030623F"/>
    <w:rsid w:val="00306F2E"/>
    <w:rsid w:val="00307B2A"/>
    <w:rsid w:val="00311A8D"/>
    <w:rsid w:val="00312995"/>
    <w:rsid w:val="00313826"/>
    <w:rsid w:val="00313831"/>
    <w:rsid w:val="003149F5"/>
    <w:rsid w:val="003151D3"/>
    <w:rsid w:val="00315B55"/>
    <w:rsid w:val="003164D5"/>
    <w:rsid w:val="00317360"/>
    <w:rsid w:val="00317487"/>
    <w:rsid w:val="0032079A"/>
    <w:rsid w:val="00321306"/>
    <w:rsid w:val="00321CB3"/>
    <w:rsid w:val="00322BBF"/>
    <w:rsid w:val="00322CB3"/>
    <w:rsid w:val="00327346"/>
    <w:rsid w:val="003276D0"/>
    <w:rsid w:val="00330DD1"/>
    <w:rsid w:val="00331DD5"/>
    <w:rsid w:val="00332BFC"/>
    <w:rsid w:val="0033470A"/>
    <w:rsid w:val="00334A46"/>
    <w:rsid w:val="0033524F"/>
    <w:rsid w:val="003352B8"/>
    <w:rsid w:val="00336B22"/>
    <w:rsid w:val="00336D10"/>
    <w:rsid w:val="00337B41"/>
    <w:rsid w:val="00340FCD"/>
    <w:rsid w:val="00341A48"/>
    <w:rsid w:val="00343A5F"/>
    <w:rsid w:val="00343E5E"/>
    <w:rsid w:val="00344A65"/>
    <w:rsid w:val="00344E12"/>
    <w:rsid w:val="00346183"/>
    <w:rsid w:val="00346495"/>
    <w:rsid w:val="00346CAE"/>
    <w:rsid w:val="00346CCC"/>
    <w:rsid w:val="0034782D"/>
    <w:rsid w:val="00350076"/>
    <w:rsid w:val="00350217"/>
    <w:rsid w:val="0035098E"/>
    <w:rsid w:val="00350B5C"/>
    <w:rsid w:val="00350DA7"/>
    <w:rsid w:val="0035134E"/>
    <w:rsid w:val="003516D6"/>
    <w:rsid w:val="00351F56"/>
    <w:rsid w:val="00352B49"/>
    <w:rsid w:val="00352F67"/>
    <w:rsid w:val="0035441E"/>
    <w:rsid w:val="0035470C"/>
    <w:rsid w:val="00355005"/>
    <w:rsid w:val="00355A0F"/>
    <w:rsid w:val="00355FE4"/>
    <w:rsid w:val="0035654C"/>
    <w:rsid w:val="003565E8"/>
    <w:rsid w:val="00360535"/>
    <w:rsid w:val="00360D25"/>
    <w:rsid w:val="00360DBF"/>
    <w:rsid w:val="003613F4"/>
    <w:rsid w:val="003617EE"/>
    <w:rsid w:val="00362EBD"/>
    <w:rsid w:val="00363BBC"/>
    <w:rsid w:val="003643F8"/>
    <w:rsid w:val="003647FF"/>
    <w:rsid w:val="00365922"/>
    <w:rsid w:val="003659CC"/>
    <w:rsid w:val="00365F71"/>
    <w:rsid w:val="00367AAC"/>
    <w:rsid w:val="00367CDF"/>
    <w:rsid w:val="00371B86"/>
    <w:rsid w:val="00371C28"/>
    <w:rsid w:val="0037202B"/>
    <w:rsid w:val="0037270A"/>
    <w:rsid w:val="003730FB"/>
    <w:rsid w:val="0037311A"/>
    <w:rsid w:val="00373C25"/>
    <w:rsid w:val="003742EF"/>
    <w:rsid w:val="003759C7"/>
    <w:rsid w:val="00381774"/>
    <w:rsid w:val="00382217"/>
    <w:rsid w:val="00382C71"/>
    <w:rsid w:val="00383CE6"/>
    <w:rsid w:val="003846C2"/>
    <w:rsid w:val="003857EC"/>
    <w:rsid w:val="00386173"/>
    <w:rsid w:val="00387CBE"/>
    <w:rsid w:val="003905DC"/>
    <w:rsid w:val="00390627"/>
    <w:rsid w:val="003907C4"/>
    <w:rsid w:val="00391920"/>
    <w:rsid w:val="003924C6"/>
    <w:rsid w:val="00392D66"/>
    <w:rsid w:val="003932CE"/>
    <w:rsid w:val="003945E5"/>
    <w:rsid w:val="00394C2E"/>
    <w:rsid w:val="00394E98"/>
    <w:rsid w:val="00395E8F"/>
    <w:rsid w:val="00396C09"/>
    <w:rsid w:val="00396D26"/>
    <w:rsid w:val="00397252"/>
    <w:rsid w:val="003A0CFE"/>
    <w:rsid w:val="003A0D3C"/>
    <w:rsid w:val="003A0F37"/>
    <w:rsid w:val="003A0F98"/>
    <w:rsid w:val="003A1991"/>
    <w:rsid w:val="003A23D9"/>
    <w:rsid w:val="003A3A50"/>
    <w:rsid w:val="003A4057"/>
    <w:rsid w:val="003A490B"/>
    <w:rsid w:val="003A495A"/>
    <w:rsid w:val="003A4989"/>
    <w:rsid w:val="003A4E3C"/>
    <w:rsid w:val="003A5678"/>
    <w:rsid w:val="003A64E7"/>
    <w:rsid w:val="003A6B14"/>
    <w:rsid w:val="003A7065"/>
    <w:rsid w:val="003A761D"/>
    <w:rsid w:val="003A7928"/>
    <w:rsid w:val="003A7F1C"/>
    <w:rsid w:val="003B01A6"/>
    <w:rsid w:val="003B22E4"/>
    <w:rsid w:val="003B2C07"/>
    <w:rsid w:val="003B36BE"/>
    <w:rsid w:val="003B3C91"/>
    <w:rsid w:val="003B42BB"/>
    <w:rsid w:val="003B52DB"/>
    <w:rsid w:val="003B56D7"/>
    <w:rsid w:val="003B592A"/>
    <w:rsid w:val="003B5CFB"/>
    <w:rsid w:val="003B601B"/>
    <w:rsid w:val="003B6959"/>
    <w:rsid w:val="003B6C39"/>
    <w:rsid w:val="003C025E"/>
    <w:rsid w:val="003C0961"/>
    <w:rsid w:val="003C0D20"/>
    <w:rsid w:val="003C0ECA"/>
    <w:rsid w:val="003C113A"/>
    <w:rsid w:val="003C2234"/>
    <w:rsid w:val="003C22D6"/>
    <w:rsid w:val="003C284A"/>
    <w:rsid w:val="003C3851"/>
    <w:rsid w:val="003C494B"/>
    <w:rsid w:val="003C4EE1"/>
    <w:rsid w:val="003C54F9"/>
    <w:rsid w:val="003C6EF4"/>
    <w:rsid w:val="003D073A"/>
    <w:rsid w:val="003D07FC"/>
    <w:rsid w:val="003D0893"/>
    <w:rsid w:val="003D1128"/>
    <w:rsid w:val="003D1414"/>
    <w:rsid w:val="003D1976"/>
    <w:rsid w:val="003D2F76"/>
    <w:rsid w:val="003D484B"/>
    <w:rsid w:val="003D55FB"/>
    <w:rsid w:val="003D56E0"/>
    <w:rsid w:val="003D5E68"/>
    <w:rsid w:val="003D678A"/>
    <w:rsid w:val="003E0E7F"/>
    <w:rsid w:val="003E1312"/>
    <w:rsid w:val="003E16EB"/>
    <w:rsid w:val="003E16ED"/>
    <w:rsid w:val="003E1BCA"/>
    <w:rsid w:val="003E38FE"/>
    <w:rsid w:val="003E475A"/>
    <w:rsid w:val="003E4B0F"/>
    <w:rsid w:val="003E4BFF"/>
    <w:rsid w:val="003E4D8A"/>
    <w:rsid w:val="003E544E"/>
    <w:rsid w:val="003E6A33"/>
    <w:rsid w:val="003E6AF9"/>
    <w:rsid w:val="003E6D82"/>
    <w:rsid w:val="003F0EDB"/>
    <w:rsid w:val="003F118B"/>
    <w:rsid w:val="003F161E"/>
    <w:rsid w:val="003F1B73"/>
    <w:rsid w:val="003F25A1"/>
    <w:rsid w:val="003F2C29"/>
    <w:rsid w:val="003F408E"/>
    <w:rsid w:val="003F4850"/>
    <w:rsid w:val="003F4F8F"/>
    <w:rsid w:val="003F6CEA"/>
    <w:rsid w:val="00401282"/>
    <w:rsid w:val="0040134D"/>
    <w:rsid w:val="004016B3"/>
    <w:rsid w:val="00401CDB"/>
    <w:rsid w:val="00401D6D"/>
    <w:rsid w:val="0040247D"/>
    <w:rsid w:val="004024C1"/>
    <w:rsid w:val="00403390"/>
    <w:rsid w:val="004033D4"/>
    <w:rsid w:val="004054A9"/>
    <w:rsid w:val="0040563A"/>
    <w:rsid w:val="0040569B"/>
    <w:rsid w:val="004056B1"/>
    <w:rsid w:val="0040599D"/>
    <w:rsid w:val="0040632F"/>
    <w:rsid w:val="00406469"/>
    <w:rsid w:val="00406ADF"/>
    <w:rsid w:val="00406D63"/>
    <w:rsid w:val="00410511"/>
    <w:rsid w:val="00411730"/>
    <w:rsid w:val="00411CA1"/>
    <w:rsid w:val="00411F5C"/>
    <w:rsid w:val="004126AE"/>
    <w:rsid w:val="00413AF5"/>
    <w:rsid w:val="00414DB8"/>
    <w:rsid w:val="004154A4"/>
    <w:rsid w:val="004163D1"/>
    <w:rsid w:val="004166E1"/>
    <w:rsid w:val="00416B9A"/>
    <w:rsid w:val="00416FD0"/>
    <w:rsid w:val="00417471"/>
    <w:rsid w:val="0042045C"/>
    <w:rsid w:val="004213D1"/>
    <w:rsid w:val="0042150B"/>
    <w:rsid w:val="00423345"/>
    <w:rsid w:val="00426C96"/>
    <w:rsid w:val="004270A8"/>
    <w:rsid w:val="0042744D"/>
    <w:rsid w:val="004274F6"/>
    <w:rsid w:val="00427EB5"/>
    <w:rsid w:val="0043016A"/>
    <w:rsid w:val="00430C12"/>
    <w:rsid w:val="00431340"/>
    <w:rsid w:val="004315A0"/>
    <w:rsid w:val="00432D46"/>
    <w:rsid w:val="00432E8F"/>
    <w:rsid w:val="00433D58"/>
    <w:rsid w:val="004343BE"/>
    <w:rsid w:val="004346DC"/>
    <w:rsid w:val="00434BA4"/>
    <w:rsid w:val="004352AC"/>
    <w:rsid w:val="004355DC"/>
    <w:rsid w:val="004357A8"/>
    <w:rsid w:val="00435A6F"/>
    <w:rsid w:val="00437CA8"/>
    <w:rsid w:val="00441117"/>
    <w:rsid w:val="00441C19"/>
    <w:rsid w:val="00442A24"/>
    <w:rsid w:val="004437D8"/>
    <w:rsid w:val="0044419C"/>
    <w:rsid w:val="00444632"/>
    <w:rsid w:val="00444865"/>
    <w:rsid w:val="004457CE"/>
    <w:rsid w:val="0044587E"/>
    <w:rsid w:val="00446708"/>
    <w:rsid w:val="00446963"/>
    <w:rsid w:val="00447134"/>
    <w:rsid w:val="0044724B"/>
    <w:rsid w:val="0045092A"/>
    <w:rsid w:val="004511F8"/>
    <w:rsid w:val="00451CD9"/>
    <w:rsid w:val="00452A49"/>
    <w:rsid w:val="00452A79"/>
    <w:rsid w:val="00452F24"/>
    <w:rsid w:val="00455A2C"/>
    <w:rsid w:val="00456A47"/>
    <w:rsid w:val="004578C4"/>
    <w:rsid w:val="00460D0E"/>
    <w:rsid w:val="00465DA8"/>
    <w:rsid w:val="0046695F"/>
    <w:rsid w:val="00466C1F"/>
    <w:rsid w:val="00466DEC"/>
    <w:rsid w:val="00467D63"/>
    <w:rsid w:val="00467EA4"/>
    <w:rsid w:val="00470544"/>
    <w:rsid w:val="00470DAA"/>
    <w:rsid w:val="00473638"/>
    <w:rsid w:val="00473793"/>
    <w:rsid w:val="00473854"/>
    <w:rsid w:val="00473DDB"/>
    <w:rsid w:val="00473F44"/>
    <w:rsid w:val="00474BAB"/>
    <w:rsid w:val="0047522C"/>
    <w:rsid w:val="0047623C"/>
    <w:rsid w:val="00476D04"/>
    <w:rsid w:val="00477B08"/>
    <w:rsid w:val="00477D16"/>
    <w:rsid w:val="004806F6"/>
    <w:rsid w:val="00482999"/>
    <w:rsid w:val="00483A60"/>
    <w:rsid w:val="00483C68"/>
    <w:rsid w:val="00484008"/>
    <w:rsid w:val="004845AD"/>
    <w:rsid w:val="0048608E"/>
    <w:rsid w:val="004860D4"/>
    <w:rsid w:val="00486DB1"/>
    <w:rsid w:val="004870C9"/>
    <w:rsid w:val="004871C2"/>
    <w:rsid w:val="004876A6"/>
    <w:rsid w:val="00487794"/>
    <w:rsid w:val="00487F8A"/>
    <w:rsid w:val="00487FB6"/>
    <w:rsid w:val="00490027"/>
    <w:rsid w:val="00490603"/>
    <w:rsid w:val="0049216F"/>
    <w:rsid w:val="0049284C"/>
    <w:rsid w:val="00492CF2"/>
    <w:rsid w:val="004947BD"/>
    <w:rsid w:val="00494F96"/>
    <w:rsid w:val="00496156"/>
    <w:rsid w:val="00496162"/>
    <w:rsid w:val="00496181"/>
    <w:rsid w:val="00497AF8"/>
    <w:rsid w:val="004A02F6"/>
    <w:rsid w:val="004A3855"/>
    <w:rsid w:val="004A41F8"/>
    <w:rsid w:val="004A79FF"/>
    <w:rsid w:val="004A7E42"/>
    <w:rsid w:val="004B0394"/>
    <w:rsid w:val="004B0BD7"/>
    <w:rsid w:val="004B0E9F"/>
    <w:rsid w:val="004B1E45"/>
    <w:rsid w:val="004B2C46"/>
    <w:rsid w:val="004B37D5"/>
    <w:rsid w:val="004B39E3"/>
    <w:rsid w:val="004B4B24"/>
    <w:rsid w:val="004B4D16"/>
    <w:rsid w:val="004B5A10"/>
    <w:rsid w:val="004B67B4"/>
    <w:rsid w:val="004B7838"/>
    <w:rsid w:val="004C0A20"/>
    <w:rsid w:val="004C0E79"/>
    <w:rsid w:val="004C1B79"/>
    <w:rsid w:val="004C1E26"/>
    <w:rsid w:val="004C1E77"/>
    <w:rsid w:val="004C2DCF"/>
    <w:rsid w:val="004C2FC3"/>
    <w:rsid w:val="004C49A1"/>
    <w:rsid w:val="004C515B"/>
    <w:rsid w:val="004C5B2C"/>
    <w:rsid w:val="004C674D"/>
    <w:rsid w:val="004C7015"/>
    <w:rsid w:val="004C730C"/>
    <w:rsid w:val="004C7A60"/>
    <w:rsid w:val="004C7AD6"/>
    <w:rsid w:val="004D1352"/>
    <w:rsid w:val="004D1C6A"/>
    <w:rsid w:val="004D4E46"/>
    <w:rsid w:val="004D54FC"/>
    <w:rsid w:val="004D735C"/>
    <w:rsid w:val="004E032F"/>
    <w:rsid w:val="004E0A7D"/>
    <w:rsid w:val="004E1CCF"/>
    <w:rsid w:val="004E26CC"/>
    <w:rsid w:val="004E2904"/>
    <w:rsid w:val="004E2ECF"/>
    <w:rsid w:val="004E30E4"/>
    <w:rsid w:val="004E4708"/>
    <w:rsid w:val="004E5714"/>
    <w:rsid w:val="004E5D6D"/>
    <w:rsid w:val="004E6603"/>
    <w:rsid w:val="004E7377"/>
    <w:rsid w:val="004F0C09"/>
    <w:rsid w:val="004F1509"/>
    <w:rsid w:val="004F2E46"/>
    <w:rsid w:val="004F3457"/>
    <w:rsid w:val="004F41E8"/>
    <w:rsid w:val="004F42E6"/>
    <w:rsid w:val="004F46BA"/>
    <w:rsid w:val="004F509D"/>
    <w:rsid w:val="004F54E0"/>
    <w:rsid w:val="004F5848"/>
    <w:rsid w:val="004F5C35"/>
    <w:rsid w:val="004F5C7D"/>
    <w:rsid w:val="004F676A"/>
    <w:rsid w:val="004F7F5F"/>
    <w:rsid w:val="00501D4C"/>
    <w:rsid w:val="00502A84"/>
    <w:rsid w:val="00502DCE"/>
    <w:rsid w:val="00503C72"/>
    <w:rsid w:val="00504025"/>
    <w:rsid w:val="005056F0"/>
    <w:rsid w:val="00506167"/>
    <w:rsid w:val="00506989"/>
    <w:rsid w:val="00506D4C"/>
    <w:rsid w:val="0050755B"/>
    <w:rsid w:val="005075E7"/>
    <w:rsid w:val="00507768"/>
    <w:rsid w:val="0051085F"/>
    <w:rsid w:val="00510915"/>
    <w:rsid w:val="00511AA7"/>
    <w:rsid w:val="00512C7C"/>
    <w:rsid w:val="00513835"/>
    <w:rsid w:val="00513C84"/>
    <w:rsid w:val="005144B4"/>
    <w:rsid w:val="00514631"/>
    <w:rsid w:val="00514ADF"/>
    <w:rsid w:val="00515508"/>
    <w:rsid w:val="00516385"/>
    <w:rsid w:val="005168D8"/>
    <w:rsid w:val="005174E5"/>
    <w:rsid w:val="00517B3D"/>
    <w:rsid w:val="00517C46"/>
    <w:rsid w:val="0052154E"/>
    <w:rsid w:val="0052506E"/>
    <w:rsid w:val="00525076"/>
    <w:rsid w:val="00525523"/>
    <w:rsid w:val="00526DF7"/>
    <w:rsid w:val="0052763A"/>
    <w:rsid w:val="00527A23"/>
    <w:rsid w:val="005300B8"/>
    <w:rsid w:val="00530A58"/>
    <w:rsid w:val="00530C40"/>
    <w:rsid w:val="00530E5F"/>
    <w:rsid w:val="00532686"/>
    <w:rsid w:val="00532C07"/>
    <w:rsid w:val="00533847"/>
    <w:rsid w:val="0053495F"/>
    <w:rsid w:val="00535E8D"/>
    <w:rsid w:val="0053720E"/>
    <w:rsid w:val="00537329"/>
    <w:rsid w:val="00537606"/>
    <w:rsid w:val="005403CD"/>
    <w:rsid w:val="005406E9"/>
    <w:rsid w:val="00540AAD"/>
    <w:rsid w:val="00540C41"/>
    <w:rsid w:val="00542112"/>
    <w:rsid w:val="0054315E"/>
    <w:rsid w:val="00543363"/>
    <w:rsid w:val="005433A0"/>
    <w:rsid w:val="005434D2"/>
    <w:rsid w:val="0054481D"/>
    <w:rsid w:val="00545792"/>
    <w:rsid w:val="005502BA"/>
    <w:rsid w:val="0055125D"/>
    <w:rsid w:val="005514C8"/>
    <w:rsid w:val="00551FC0"/>
    <w:rsid w:val="0055246A"/>
    <w:rsid w:val="00552AB0"/>
    <w:rsid w:val="00552B8A"/>
    <w:rsid w:val="00552EFF"/>
    <w:rsid w:val="00553D56"/>
    <w:rsid w:val="00554EB4"/>
    <w:rsid w:val="00555858"/>
    <w:rsid w:val="00555C1A"/>
    <w:rsid w:val="00556464"/>
    <w:rsid w:val="00556686"/>
    <w:rsid w:val="005576CA"/>
    <w:rsid w:val="005576F1"/>
    <w:rsid w:val="0055773E"/>
    <w:rsid w:val="0055795A"/>
    <w:rsid w:val="00560BFA"/>
    <w:rsid w:val="005612FD"/>
    <w:rsid w:val="00561490"/>
    <w:rsid w:val="0056207B"/>
    <w:rsid w:val="0056213D"/>
    <w:rsid w:val="00562258"/>
    <w:rsid w:val="00562D7B"/>
    <w:rsid w:val="00563F4D"/>
    <w:rsid w:val="00564673"/>
    <w:rsid w:val="00564ED5"/>
    <w:rsid w:val="00565319"/>
    <w:rsid w:val="0056565A"/>
    <w:rsid w:val="00565A13"/>
    <w:rsid w:val="0056746E"/>
    <w:rsid w:val="0057012C"/>
    <w:rsid w:val="00570EC2"/>
    <w:rsid w:val="0057109C"/>
    <w:rsid w:val="005710FF"/>
    <w:rsid w:val="00571874"/>
    <w:rsid w:val="005719F0"/>
    <w:rsid w:val="00572503"/>
    <w:rsid w:val="005735E6"/>
    <w:rsid w:val="005738BD"/>
    <w:rsid w:val="00574205"/>
    <w:rsid w:val="00574599"/>
    <w:rsid w:val="005748F9"/>
    <w:rsid w:val="00574ABC"/>
    <w:rsid w:val="005752EF"/>
    <w:rsid w:val="00575752"/>
    <w:rsid w:val="005766E8"/>
    <w:rsid w:val="005768C7"/>
    <w:rsid w:val="00576EBC"/>
    <w:rsid w:val="00580746"/>
    <w:rsid w:val="0058184D"/>
    <w:rsid w:val="005821C7"/>
    <w:rsid w:val="00582DF7"/>
    <w:rsid w:val="00582F92"/>
    <w:rsid w:val="005830F7"/>
    <w:rsid w:val="00583BF4"/>
    <w:rsid w:val="00583E6E"/>
    <w:rsid w:val="00584E20"/>
    <w:rsid w:val="005850FC"/>
    <w:rsid w:val="00585609"/>
    <w:rsid w:val="0058609C"/>
    <w:rsid w:val="00586698"/>
    <w:rsid w:val="00587372"/>
    <w:rsid w:val="00590B57"/>
    <w:rsid w:val="00590EBC"/>
    <w:rsid w:val="00590EC9"/>
    <w:rsid w:val="00592FF0"/>
    <w:rsid w:val="00594713"/>
    <w:rsid w:val="00594F7C"/>
    <w:rsid w:val="00595425"/>
    <w:rsid w:val="00595513"/>
    <w:rsid w:val="00595C80"/>
    <w:rsid w:val="00595E2B"/>
    <w:rsid w:val="00595EA3"/>
    <w:rsid w:val="00597287"/>
    <w:rsid w:val="005975A6"/>
    <w:rsid w:val="005977F4"/>
    <w:rsid w:val="005A1686"/>
    <w:rsid w:val="005A21F1"/>
    <w:rsid w:val="005A241E"/>
    <w:rsid w:val="005A35C1"/>
    <w:rsid w:val="005A36DD"/>
    <w:rsid w:val="005A44A4"/>
    <w:rsid w:val="005A4FB2"/>
    <w:rsid w:val="005A72EC"/>
    <w:rsid w:val="005A73AA"/>
    <w:rsid w:val="005B1778"/>
    <w:rsid w:val="005B18ED"/>
    <w:rsid w:val="005B1C3F"/>
    <w:rsid w:val="005B1D8D"/>
    <w:rsid w:val="005B2451"/>
    <w:rsid w:val="005B336B"/>
    <w:rsid w:val="005B3B14"/>
    <w:rsid w:val="005B3CEA"/>
    <w:rsid w:val="005B64E0"/>
    <w:rsid w:val="005B79C6"/>
    <w:rsid w:val="005B7B5E"/>
    <w:rsid w:val="005B7CBA"/>
    <w:rsid w:val="005C023C"/>
    <w:rsid w:val="005C11A7"/>
    <w:rsid w:val="005C2095"/>
    <w:rsid w:val="005C257D"/>
    <w:rsid w:val="005C3662"/>
    <w:rsid w:val="005C3740"/>
    <w:rsid w:val="005C431C"/>
    <w:rsid w:val="005C4333"/>
    <w:rsid w:val="005C46D4"/>
    <w:rsid w:val="005C63D1"/>
    <w:rsid w:val="005C6BBE"/>
    <w:rsid w:val="005C791E"/>
    <w:rsid w:val="005C7DBE"/>
    <w:rsid w:val="005D01E4"/>
    <w:rsid w:val="005D08DC"/>
    <w:rsid w:val="005D0941"/>
    <w:rsid w:val="005D09BA"/>
    <w:rsid w:val="005D0D00"/>
    <w:rsid w:val="005D1292"/>
    <w:rsid w:val="005D2331"/>
    <w:rsid w:val="005D2C59"/>
    <w:rsid w:val="005D34CE"/>
    <w:rsid w:val="005D38B6"/>
    <w:rsid w:val="005D4B3A"/>
    <w:rsid w:val="005D6101"/>
    <w:rsid w:val="005D6236"/>
    <w:rsid w:val="005D7165"/>
    <w:rsid w:val="005E04A9"/>
    <w:rsid w:val="005E0701"/>
    <w:rsid w:val="005E08C4"/>
    <w:rsid w:val="005E0F20"/>
    <w:rsid w:val="005E1449"/>
    <w:rsid w:val="005E154E"/>
    <w:rsid w:val="005E1DB3"/>
    <w:rsid w:val="005E2142"/>
    <w:rsid w:val="005E3607"/>
    <w:rsid w:val="005E4092"/>
    <w:rsid w:val="005E4DBB"/>
    <w:rsid w:val="005E519A"/>
    <w:rsid w:val="005E5C2D"/>
    <w:rsid w:val="005E601A"/>
    <w:rsid w:val="005E7134"/>
    <w:rsid w:val="005F06F4"/>
    <w:rsid w:val="005F2E2E"/>
    <w:rsid w:val="005F2F8E"/>
    <w:rsid w:val="005F38F5"/>
    <w:rsid w:val="005F4DC2"/>
    <w:rsid w:val="005F504B"/>
    <w:rsid w:val="005F5E2A"/>
    <w:rsid w:val="0060121D"/>
    <w:rsid w:val="00601346"/>
    <w:rsid w:val="006031EC"/>
    <w:rsid w:val="00603A71"/>
    <w:rsid w:val="00603D5E"/>
    <w:rsid w:val="006058BC"/>
    <w:rsid w:val="006072A0"/>
    <w:rsid w:val="0060742D"/>
    <w:rsid w:val="006077D9"/>
    <w:rsid w:val="00607EA7"/>
    <w:rsid w:val="00607F9E"/>
    <w:rsid w:val="00611611"/>
    <w:rsid w:val="00611B5A"/>
    <w:rsid w:val="00611D7E"/>
    <w:rsid w:val="00612FAA"/>
    <w:rsid w:val="006134F4"/>
    <w:rsid w:val="00615BAD"/>
    <w:rsid w:val="00620F7B"/>
    <w:rsid w:val="00621356"/>
    <w:rsid w:val="00621B67"/>
    <w:rsid w:val="00621F28"/>
    <w:rsid w:val="00621FDA"/>
    <w:rsid w:val="006228D5"/>
    <w:rsid w:val="006237D1"/>
    <w:rsid w:val="006246C7"/>
    <w:rsid w:val="006248CD"/>
    <w:rsid w:val="0062491F"/>
    <w:rsid w:val="00624CBF"/>
    <w:rsid w:val="00625A99"/>
    <w:rsid w:val="00625B94"/>
    <w:rsid w:val="00626233"/>
    <w:rsid w:val="0062657A"/>
    <w:rsid w:val="00626817"/>
    <w:rsid w:val="00626AB7"/>
    <w:rsid w:val="0062746D"/>
    <w:rsid w:val="006275BC"/>
    <w:rsid w:val="00627FCA"/>
    <w:rsid w:val="006301A8"/>
    <w:rsid w:val="0063136B"/>
    <w:rsid w:val="00631F92"/>
    <w:rsid w:val="0063215A"/>
    <w:rsid w:val="0063240D"/>
    <w:rsid w:val="00633453"/>
    <w:rsid w:val="00633BD4"/>
    <w:rsid w:val="00636ABA"/>
    <w:rsid w:val="00636AC1"/>
    <w:rsid w:val="00636D3D"/>
    <w:rsid w:val="00636E2A"/>
    <w:rsid w:val="00637CDF"/>
    <w:rsid w:val="00637F0F"/>
    <w:rsid w:val="00637F1B"/>
    <w:rsid w:val="0064017B"/>
    <w:rsid w:val="006428E4"/>
    <w:rsid w:val="00642E62"/>
    <w:rsid w:val="006433C8"/>
    <w:rsid w:val="00643892"/>
    <w:rsid w:val="00643E3B"/>
    <w:rsid w:val="006445FB"/>
    <w:rsid w:val="00644ABE"/>
    <w:rsid w:val="0064564E"/>
    <w:rsid w:val="006456D3"/>
    <w:rsid w:val="006461FD"/>
    <w:rsid w:val="006462B7"/>
    <w:rsid w:val="00647247"/>
    <w:rsid w:val="00647759"/>
    <w:rsid w:val="006479F6"/>
    <w:rsid w:val="006502F1"/>
    <w:rsid w:val="00652001"/>
    <w:rsid w:val="0065255E"/>
    <w:rsid w:val="00652918"/>
    <w:rsid w:val="00653606"/>
    <w:rsid w:val="006536E4"/>
    <w:rsid w:val="00653769"/>
    <w:rsid w:val="00653C12"/>
    <w:rsid w:val="00653DE8"/>
    <w:rsid w:val="006544E7"/>
    <w:rsid w:val="00654A96"/>
    <w:rsid w:val="00655021"/>
    <w:rsid w:val="00655302"/>
    <w:rsid w:val="006560BC"/>
    <w:rsid w:val="00656BB8"/>
    <w:rsid w:val="00657279"/>
    <w:rsid w:val="00657DF3"/>
    <w:rsid w:val="00660088"/>
    <w:rsid w:val="00660210"/>
    <w:rsid w:val="006602D8"/>
    <w:rsid w:val="00660318"/>
    <w:rsid w:val="00660697"/>
    <w:rsid w:val="00660BF1"/>
    <w:rsid w:val="006611AC"/>
    <w:rsid w:val="00661258"/>
    <w:rsid w:val="00661A95"/>
    <w:rsid w:val="00662779"/>
    <w:rsid w:val="00662DFE"/>
    <w:rsid w:val="00663B83"/>
    <w:rsid w:val="00664195"/>
    <w:rsid w:val="0066419F"/>
    <w:rsid w:val="006645AC"/>
    <w:rsid w:val="006654CE"/>
    <w:rsid w:val="0066637B"/>
    <w:rsid w:val="00667C7B"/>
    <w:rsid w:val="006703A0"/>
    <w:rsid w:val="00670ABC"/>
    <w:rsid w:val="00670B6C"/>
    <w:rsid w:val="00671A02"/>
    <w:rsid w:val="00672223"/>
    <w:rsid w:val="00672572"/>
    <w:rsid w:val="00672887"/>
    <w:rsid w:val="00673E0E"/>
    <w:rsid w:val="006742FF"/>
    <w:rsid w:val="00674662"/>
    <w:rsid w:val="00674B59"/>
    <w:rsid w:val="006761B5"/>
    <w:rsid w:val="0067708F"/>
    <w:rsid w:val="00677B55"/>
    <w:rsid w:val="006804FF"/>
    <w:rsid w:val="00680677"/>
    <w:rsid w:val="00680E30"/>
    <w:rsid w:val="00682293"/>
    <w:rsid w:val="00682A54"/>
    <w:rsid w:val="00683824"/>
    <w:rsid w:val="0068388B"/>
    <w:rsid w:val="00684512"/>
    <w:rsid w:val="00685C44"/>
    <w:rsid w:val="0068641A"/>
    <w:rsid w:val="00687104"/>
    <w:rsid w:val="006874A1"/>
    <w:rsid w:val="00687912"/>
    <w:rsid w:val="00687D40"/>
    <w:rsid w:val="00690476"/>
    <w:rsid w:val="00690590"/>
    <w:rsid w:val="006923FD"/>
    <w:rsid w:val="00692EB9"/>
    <w:rsid w:val="00693126"/>
    <w:rsid w:val="006931BF"/>
    <w:rsid w:val="006935A3"/>
    <w:rsid w:val="00693AD4"/>
    <w:rsid w:val="00693AFF"/>
    <w:rsid w:val="0069476E"/>
    <w:rsid w:val="00694D23"/>
    <w:rsid w:val="00695289"/>
    <w:rsid w:val="0069575C"/>
    <w:rsid w:val="00695DA5"/>
    <w:rsid w:val="006969DC"/>
    <w:rsid w:val="00697193"/>
    <w:rsid w:val="00697AC3"/>
    <w:rsid w:val="006A0F68"/>
    <w:rsid w:val="006A21D6"/>
    <w:rsid w:val="006A30A3"/>
    <w:rsid w:val="006A46AD"/>
    <w:rsid w:val="006A46E9"/>
    <w:rsid w:val="006A4832"/>
    <w:rsid w:val="006A57F4"/>
    <w:rsid w:val="006A58A0"/>
    <w:rsid w:val="006A63F7"/>
    <w:rsid w:val="006A6AC9"/>
    <w:rsid w:val="006A6EBD"/>
    <w:rsid w:val="006A7653"/>
    <w:rsid w:val="006A7AD4"/>
    <w:rsid w:val="006A7B6D"/>
    <w:rsid w:val="006B4342"/>
    <w:rsid w:val="006B4B2E"/>
    <w:rsid w:val="006B5F43"/>
    <w:rsid w:val="006B6834"/>
    <w:rsid w:val="006C04B0"/>
    <w:rsid w:val="006C072E"/>
    <w:rsid w:val="006C108A"/>
    <w:rsid w:val="006C142A"/>
    <w:rsid w:val="006C1CAA"/>
    <w:rsid w:val="006C1CCE"/>
    <w:rsid w:val="006C1F0F"/>
    <w:rsid w:val="006C3320"/>
    <w:rsid w:val="006C3517"/>
    <w:rsid w:val="006C3799"/>
    <w:rsid w:val="006C6180"/>
    <w:rsid w:val="006C6689"/>
    <w:rsid w:val="006C6AB1"/>
    <w:rsid w:val="006C70AC"/>
    <w:rsid w:val="006D03EA"/>
    <w:rsid w:val="006D0D0A"/>
    <w:rsid w:val="006D1655"/>
    <w:rsid w:val="006D1B9A"/>
    <w:rsid w:val="006D1CCC"/>
    <w:rsid w:val="006D2409"/>
    <w:rsid w:val="006D36E2"/>
    <w:rsid w:val="006D4040"/>
    <w:rsid w:val="006D4702"/>
    <w:rsid w:val="006D5A37"/>
    <w:rsid w:val="006D5A66"/>
    <w:rsid w:val="006D6296"/>
    <w:rsid w:val="006D633B"/>
    <w:rsid w:val="006E01A8"/>
    <w:rsid w:val="006E01F1"/>
    <w:rsid w:val="006E03F4"/>
    <w:rsid w:val="006E263D"/>
    <w:rsid w:val="006E28D6"/>
    <w:rsid w:val="006E2918"/>
    <w:rsid w:val="006E30C9"/>
    <w:rsid w:val="006E3188"/>
    <w:rsid w:val="006E37E5"/>
    <w:rsid w:val="006E503A"/>
    <w:rsid w:val="006E5672"/>
    <w:rsid w:val="006E6174"/>
    <w:rsid w:val="006E63B5"/>
    <w:rsid w:val="006E72A7"/>
    <w:rsid w:val="006E72E3"/>
    <w:rsid w:val="006F1893"/>
    <w:rsid w:val="006F1A9B"/>
    <w:rsid w:val="006F2403"/>
    <w:rsid w:val="006F36F3"/>
    <w:rsid w:val="006F3A50"/>
    <w:rsid w:val="006F5369"/>
    <w:rsid w:val="006F5C1C"/>
    <w:rsid w:val="006F5C68"/>
    <w:rsid w:val="006F62FB"/>
    <w:rsid w:val="00700343"/>
    <w:rsid w:val="0070044D"/>
    <w:rsid w:val="0070240F"/>
    <w:rsid w:val="00702E8B"/>
    <w:rsid w:val="00704932"/>
    <w:rsid w:val="00704C84"/>
    <w:rsid w:val="0070712D"/>
    <w:rsid w:val="007100EE"/>
    <w:rsid w:val="007106DF"/>
    <w:rsid w:val="0071296D"/>
    <w:rsid w:val="00712D4D"/>
    <w:rsid w:val="007131E3"/>
    <w:rsid w:val="0071488E"/>
    <w:rsid w:val="00715208"/>
    <w:rsid w:val="0071585B"/>
    <w:rsid w:val="0071596E"/>
    <w:rsid w:val="00715C9A"/>
    <w:rsid w:val="00715EA5"/>
    <w:rsid w:val="007164D2"/>
    <w:rsid w:val="00717495"/>
    <w:rsid w:val="0072010C"/>
    <w:rsid w:val="0072092A"/>
    <w:rsid w:val="00720E95"/>
    <w:rsid w:val="0072118A"/>
    <w:rsid w:val="00721C77"/>
    <w:rsid w:val="00722562"/>
    <w:rsid w:val="00722F75"/>
    <w:rsid w:val="00723A65"/>
    <w:rsid w:val="00725955"/>
    <w:rsid w:val="0072613B"/>
    <w:rsid w:val="0073030A"/>
    <w:rsid w:val="00730788"/>
    <w:rsid w:val="00733732"/>
    <w:rsid w:val="007343BE"/>
    <w:rsid w:val="007346C7"/>
    <w:rsid w:val="007348D8"/>
    <w:rsid w:val="007357C3"/>
    <w:rsid w:val="00735973"/>
    <w:rsid w:val="00736057"/>
    <w:rsid w:val="007362D6"/>
    <w:rsid w:val="007368AE"/>
    <w:rsid w:val="00736E71"/>
    <w:rsid w:val="0073705A"/>
    <w:rsid w:val="00740439"/>
    <w:rsid w:val="00740ECE"/>
    <w:rsid w:val="00740F1A"/>
    <w:rsid w:val="0074182C"/>
    <w:rsid w:val="00741CC8"/>
    <w:rsid w:val="0074637D"/>
    <w:rsid w:val="007466F5"/>
    <w:rsid w:val="00747376"/>
    <w:rsid w:val="007479A0"/>
    <w:rsid w:val="007501DB"/>
    <w:rsid w:val="00750F6F"/>
    <w:rsid w:val="0075139D"/>
    <w:rsid w:val="007518E1"/>
    <w:rsid w:val="0075192E"/>
    <w:rsid w:val="00751E89"/>
    <w:rsid w:val="00752EFB"/>
    <w:rsid w:val="0075360D"/>
    <w:rsid w:val="007539A8"/>
    <w:rsid w:val="00753CED"/>
    <w:rsid w:val="00755BC9"/>
    <w:rsid w:val="00757AA2"/>
    <w:rsid w:val="00757C53"/>
    <w:rsid w:val="007602FB"/>
    <w:rsid w:val="00761085"/>
    <w:rsid w:val="00761E96"/>
    <w:rsid w:val="00762490"/>
    <w:rsid w:val="00762B3D"/>
    <w:rsid w:val="00762D47"/>
    <w:rsid w:val="0076335D"/>
    <w:rsid w:val="007646A4"/>
    <w:rsid w:val="00765895"/>
    <w:rsid w:val="00765E8C"/>
    <w:rsid w:val="00766612"/>
    <w:rsid w:val="00767869"/>
    <w:rsid w:val="007702A9"/>
    <w:rsid w:val="007706C2"/>
    <w:rsid w:val="00771027"/>
    <w:rsid w:val="0077179D"/>
    <w:rsid w:val="007722E5"/>
    <w:rsid w:val="00773674"/>
    <w:rsid w:val="007746D5"/>
    <w:rsid w:val="0077471C"/>
    <w:rsid w:val="00775031"/>
    <w:rsid w:val="0077627A"/>
    <w:rsid w:val="00776405"/>
    <w:rsid w:val="00777B8B"/>
    <w:rsid w:val="007804D7"/>
    <w:rsid w:val="00780F35"/>
    <w:rsid w:val="00781102"/>
    <w:rsid w:val="00781311"/>
    <w:rsid w:val="00781BC5"/>
    <w:rsid w:val="00781BCD"/>
    <w:rsid w:val="007824CB"/>
    <w:rsid w:val="00782883"/>
    <w:rsid w:val="00783A0C"/>
    <w:rsid w:val="00783F05"/>
    <w:rsid w:val="00784823"/>
    <w:rsid w:val="00784A17"/>
    <w:rsid w:val="00785539"/>
    <w:rsid w:val="007855F8"/>
    <w:rsid w:val="00786419"/>
    <w:rsid w:val="00786904"/>
    <w:rsid w:val="00790783"/>
    <w:rsid w:val="0079105D"/>
    <w:rsid w:val="00791172"/>
    <w:rsid w:val="00792108"/>
    <w:rsid w:val="007929B9"/>
    <w:rsid w:val="00792FFE"/>
    <w:rsid w:val="00794F99"/>
    <w:rsid w:val="00796203"/>
    <w:rsid w:val="0079630A"/>
    <w:rsid w:val="00796B1F"/>
    <w:rsid w:val="00796F5B"/>
    <w:rsid w:val="007971D6"/>
    <w:rsid w:val="00797578"/>
    <w:rsid w:val="007A0225"/>
    <w:rsid w:val="007A0A4E"/>
    <w:rsid w:val="007A1E60"/>
    <w:rsid w:val="007A3502"/>
    <w:rsid w:val="007A3934"/>
    <w:rsid w:val="007A3C8F"/>
    <w:rsid w:val="007A5841"/>
    <w:rsid w:val="007A5935"/>
    <w:rsid w:val="007A5CB9"/>
    <w:rsid w:val="007A76BE"/>
    <w:rsid w:val="007A7972"/>
    <w:rsid w:val="007B0723"/>
    <w:rsid w:val="007B1948"/>
    <w:rsid w:val="007B3138"/>
    <w:rsid w:val="007B319D"/>
    <w:rsid w:val="007B37D5"/>
    <w:rsid w:val="007B3D59"/>
    <w:rsid w:val="007B6D7F"/>
    <w:rsid w:val="007B71C9"/>
    <w:rsid w:val="007C0087"/>
    <w:rsid w:val="007C0FAA"/>
    <w:rsid w:val="007C281E"/>
    <w:rsid w:val="007C2FF2"/>
    <w:rsid w:val="007C3768"/>
    <w:rsid w:val="007C3785"/>
    <w:rsid w:val="007C459A"/>
    <w:rsid w:val="007C526D"/>
    <w:rsid w:val="007C532A"/>
    <w:rsid w:val="007C53A1"/>
    <w:rsid w:val="007C6A71"/>
    <w:rsid w:val="007C7C47"/>
    <w:rsid w:val="007D09B9"/>
    <w:rsid w:val="007D155E"/>
    <w:rsid w:val="007D1F09"/>
    <w:rsid w:val="007D27A2"/>
    <w:rsid w:val="007D2BC0"/>
    <w:rsid w:val="007D2E7A"/>
    <w:rsid w:val="007D4134"/>
    <w:rsid w:val="007D4397"/>
    <w:rsid w:val="007D43CA"/>
    <w:rsid w:val="007D45BE"/>
    <w:rsid w:val="007D4904"/>
    <w:rsid w:val="007D6F00"/>
    <w:rsid w:val="007E037D"/>
    <w:rsid w:val="007E0736"/>
    <w:rsid w:val="007E1A06"/>
    <w:rsid w:val="007E1E4E"/>
    <w:rsid w:val="007E2168"/>
    <w:rsid w:val="007E3A01"/>
    <w:rsid w:val="007E4155"/>
    <w:rsid w:val="007E5C84"/>
    <w:rsid w:val="007E5D87"/>
    <w:rsid w:val="007E5EA8"/>
    <w:rsid w:val="007E7919"/>
    <w:rsid w:val="007E7B18"/>
    <w:rsid w:val="007F00A3"/>
    <w:rsid w:val="007F0878"/>
    <w:rsid w:val="007F0E77"/>
    <w:rsid w:val="007F16A9"/>
    <w:rsid w:val="007F2459"/>
    <w:rsid w:val="007F2582"/>
    <w:rsid w:val="007F3590"/>
    <w:rsid w:val="007F47D2"/>
    <w:rsid w:val="007F55C7"/>
    <w:rsid w:val="007F5D98"/>
    <w:rsid w:val="007F7745"/>
    <w:rsid w:val="007F7E84"/>
    <w:rsid w:val="00800547"/>
    <w:rsid w:val="008007FF"/>
    <w:rsid w:val="00801633"/>
    <w:rsid w:val="008017C0"/>
    <w:rsid w:val="00803007"/>
    <w:rsid w:val="00803D97"/>
    <w:rsid w:val="008045C7"/>
    <w:rsid w:val="00804C7E"/>
    <w:rsid w:val="00806634"/>
    <w:rsid w:val="008078A0"/>
    <w:rsid w:val="00807D06"/>
    <w:rsid w:val="008104AC"/>
    <w:rsid w:val="008104B7"/>
    <w:rsid w:val="008109A5"/>
    <w:rsid w:val="00811CE1"/>
    <w:rsid w:val="008123CA"/>
    <w:rsid w:val="008135A9"/>
    <w:rsid w:val="00813FC6"/>
    <w:rsid w:val="008150BB"/>
    <w:rsid w:val="00816E30"/>
    <w:rsid w:val="0081716C"/>
    <w:rsid w:val="0082014C"/>
    <w:rsid w:val="00820291"/>
    <w:rsid w:val="00820B3D"/>
    <w:rsid w:val="0082115C"/>
    <w:rsid w:val="00821458"/>
    <w:rsid w:val="008216B2"/>
    <w:rsid w:val="00821F2E"/>
    <w:rsid w:val="00822708"/>
    <w:rsid w:val="00822A8F"/>
    <w:rsid w:val="00824E9D"/>
    <w:rsid w:val="00824F60"/>
    <w:rsid w:val="008269AE"/>
    <w:rsid w:val="008276E4"/>
    <w:rsid w:val="008300E7"/>
    <w:rsid w:val="00830745"/>
    <w:rsid w:val="008317B8"/>
    <w:rsid w:val="00831A70"/>
    <w:rsid w:val="00832A86"/>
    <w:rsid w:val="00833374"/>
    <w:rsid w:val="00834346"/>
    <w:rsid w:val="00836933"/>
    <w:rsid w:val="00836F5A"/>
    <w:rsid w:val="008375D6"/>
    <w:rsid w:val="0084039C"/>
    <w:rsid w:val="0084050A"/>
    <w:rsid w:val="00840E2D"/>
    <w:rsid w:val="008418BD"/>
    <w:rsid w:val="00843AB9"/>
    <w:rsid w:val="00843EEB"/>
    <w:rsid w:val="00845040"/>
    <w:rsid w:val="00845AA2"/>
    <w:rsid w:val="008467CC"/>
    <w:rsid w:val="00847179"/>
    <w:rsid w:val="008474C8"/>
    <w:rsid w:val="00847602"/>
    <w:rsid w:val="008504DE"/>
    <w:rsid w:val="008507B9"/>
    <w:rsid w:val="00850E3F"/>
    <w:rsid w:val="0085104F"/>
    <w:rsid w:val="00852E0A"/>
    <w:rsid w:val="00852FC7"/>
    <w:rsid w:val="00854C4D"/>
    <w:rsid w:val="00854ECA"/>
    <w:rsid w:val="008552BA"/>
    <w:rsid w:val="00855ACD"/>
    <w:rsid w:val="00855AF9"/>
    <w:rsid w:val="00855F28"/>
    <w:rsid w:val="008569CD"/>
    <w:rsid w:val="00856C74"/>
    <w:rsid w:val="008579F6"/>
    <w:rsid w:val="00857FCD"/>
    <w:rsid w:val="008603EB"/>
    <w:rsid w:val="00860AE8"/>
    <w:rsid w:val="00862302"/>
    <w:rsid w:val="00862A1C"/>
    <w:rsid w:val="00863793"/>
    <w:rsid w:val="0086406D"/>
    <w:rsid w:val="00864B88"/>
    <w:rsid w:val="00864E1C"/>
    <w:rsid w:val="008654EC"/>
    <w:rsid w:val="008664D5"/>
    <w:rsid w:val="00870092"/>
    <w:rsid w:val="00870445"/>
    <w:rsid w:val="00872631"/>
    <w:rsid w:val="00872EFD"/>
    <w:rsid w:val="00877E99"/>
    <w:rsid w:val="0088408E"/>
    <w:rsid w:val="00884DEE"/>
    <w:rsid w:val="008850F9"/>
    <w:rsid w:val="008868BB"/>
    <w:rsid w:val="00887928"/>
    <w:rsid w:val="00887BB7"/>
    <w:rsid w:val="0089027E"/>
    <w:rsid w:val="0089093D"/>
    <w:rsid w:val="00890D08"/>
    <w:rsid w:val="0089119D"/>
    <w:rsid w:val="00891E82"/>
    <w:rsid w:val="0089206C"/>
    <w:rsid w:val="008934F5"/>
    <w:rsid w:val="00894370"/>
    <w:rsid w:val="00895968"/>
    <w:rsid w:val="00895F79"/>
    <w:rsid w:val="00895F9E"/>
    <w:rsid w:val="008963E1"/>
    <w:rsid w:val="0089656F"/>
    <w:rsid w:val="00896A90"/>
    <w:rsid w:val="00896CD8"/>
    <w:rsid w:val="00896EE2"/>
    <w:rsid w:val="00897109"/>
    <w:rsid w:val="00897F26"/>
    <w:rsid w:val="008A001B"/>
    <w:rsid w:val="008A0781"/>
    <w:rsid w:val="008A0B97"/>
    <w:rsid w:val="008A0C31"/>
    <w:rsid w:val="008A131A"/>
    <w:rsid w:val="008A1959"/>
    <w:rsid w:val="008A1D78"/>
    <w:rsid w:val="008A2C74"/>
    <w:rsid w:val="008A33C4"/>
    <w:rsid w:val="008A4044"/>
    <w:rsid w:val="008A40EA"/>
    <w:rsid w:val="008A41BD"/>
    <w:rsid w:val="008A4725"/>
    <w:rsid w:val="008A4AB9"/>
    <w:rsid w:val="008A4F5A"/>
    <w:rsid w:val="008A599B"/>
    <w:rsid w:val="008A6AB0"/>
    <w:rsid w:val="008A6ACD"/>
    <w:rsid w:val="008A7030"/>
    <w:rsid w:val="008A7450"/>
    <w:rsid w:val="008A74A4"/>
    <w:rsid w:val="008A77BC"/>
    <w:rsid w:val="008A7CE9"/>
    <w:rsid w:val="008B164F"/>
    <w:rsid w:val="008B1D16"/>
    <w:rsid w:val="008B1EC7"/>
    <w:rsid w:val="008B1EF5"/>
    <w:rsid w:val="008B2348"/>
    <w:rsid w:val="008B2876"/>
    <w:rsid w:val="008B3345"/>
    <w:rsid w:val="008B412F"/>
    <w:rsid w:val="008B486B"/>
    <w:rsid w:val="008B4F07"/>
    <w:rsid w:val="008B4F7A"/>
    <w:rsid w:val="008B5562"/>
    <w:rsid w:val="008B5C64"/>
    <w:rsid w:val="008B5E43"/>
    <w:rsid w:val="008B708F"/>
    <w:rsid w:val="008B7571"/>
    <w:rsid w:val="008B76FA"/>
    <w:rsid w:val="008C01FD"/>
    <w:rsid w:val="008C06E9"/>
    <w:rsid w:val="008C1239"/>
    <w:rsid w:val="008C18D2"/>
    <w:rsid w:val="008C19A6"/>
    <w:rsid w:val="008C28CC"/>
    <w:rsid w:val="008C3110"/>
    <w:rsid w:val="008C45F5"/>
    <w:rsid w:val="008C4DC1"/>
    <w:rsid w:val="008C4E33"/>
    <w:rsid w:val="008C56B4"/>
    <w:rsid w:val="008C648D"/>
    <w:rsid w:val="008C6C92"/>
    <w:rsid w:val="008D0EFC"/>
    <w:rsid w:val="008D1196"/>
    <w:rsid w:val="008D1751"/>
    <w:rsid w:val="008D2627"/>
    <w:rsid w:val="008D2684"/>
    <w:rsid w:val="008D27A3"/>
    <w:rsid w:val="008D2846"/>
    <w:rsid w:val="008D2B5E"/>
    <w:rsid w:val="008D33E8"/>
    <w:rsid w:val="008D3D2C"/>
    <w:rsid w:val="008D3E5E"/>
    <w:rsid w:val="008D4AC4"/>
    <w:rsid w:val="008D519C"/>
    <w:rsid w:val="008D5782"/>
    <w:rsid w:val="008D5835"/>
    <w:rsid w:val="008D6178"/>
    <w:rsid w:val="008E02DA"/>
    <w:rsid w:val="008E0D55"/>
    <w:rsid w:val="008E2F20"/>
    <w:rsid w:val="008E3A32"/>
    <w:rsid w:val="008E46A9"/>
    <w:rsid w:val="008E4916"/>
    <w:rsid w:val="008E596F"/>
    <w:rsid w:val="008E5F2F"/>
    <w:rsid w:val="008E60CE"/>
    <w:rsid w:val="008E61D3"/>
    <w:rsid w:val="008E638C"/>
    <w:rsid w:val="008E6699"/>
    <w:rsid w:val="008E734D"/>
    <w:rsid w:val="008E7D38"/>
    <w:rsid w:val="008E7D52"/>
    <w:rsid w:val="008F0183"/>
    <w:rsid w:val="008F1A40"/>
    <w:rsid w:val="008F25E6"/>
    <w:rsid w:val="008F2D96"/>
    <w:rsid w:val="008F3BC8"/>
    <w:rsid w:val="008F3F3A"/>
    <w:rsid w:val="008F407E"/>
    <w:rsid w:val="008F4415"/>
    <w:rsid w:val="008F4CE3"/>
    <w:rsid w:val="008F59A9"/>
    <w:rsid w:val="008F6ADB"/>
    <w:rsid w:val="008F786B"/>
    <w:rsid w:val="009000B0"/>
    <w:rsid w:val="0090018E"/>
    <w:rsid w:val="00900EC4"/>
    <w:rsid w:val="009019F8"/>
    <w:rsid w:val="00901F16"/>
    <w:rsid w:val="00901F36"/>
    <w:rsid w:val="00902725"/>
    <w:rsid w:val="009039CF"/>
    <w:rsid w:val="009039D1"/>
    <w:rsid w:val="00904914"/>
    <w:rsid w:val="00904D44"/>
    <w:rsid w:val="009058FE"/>
    <w:rsid w:val="009075C8"/>
    <w:rsid w:val="0090790B"/>
    <w:rsid w:val="00907EE1"/>
    <w:rsid w:val="009103FD"/>
    <w:rsid w:val="00910A74"/>
    <w:rsid w:val="00910D1B"/>
    <w:rsid w:val="00910DFA"/>
    <w:rsid w:val="00911155"/>
    <w:rsid w:val="0091133D"/>
    <w:rsid w:val="00911AAB"/>
    <w:rsid w:val="00912105"/>
    <w:rsid w:val="009131F9"/>
    <w:rsid w:val="009133C6"/>
    <w:rsid w:val="00914DC1"/>
    <w:rsid w:val="00915241"/>
    <w:rsid w:val="009153BE"/>
    <w:rsid w:val="00915423"/>
    <w:rsid w:val="00915A5E"/>
    <w:rsid w:val="00916389"/>
    <w:rsid w:val="0091762F"/>
    <w:rsid w:val="0092083B"/>
    <w:rsid w:val="009211BD"/>
    <w:rsid w:val="009218E8"/>
    <w:rsid w:val="009223AB"/>
    <w:rsid w:val="00923086"/>
    <w:rsid w:val="00924086"/>
    <w:rsid w:val="00924FA4"/>
    <w:rsid w:val="009256DD"/>
    <w:rsid w:val="00926BAE"/>
    <w:rsid w:val="00930CBD"/>
    <w:rsid w:val="00930E88"/>
    <w:rsid w:val="00930F47"/>
    <w:rsid w:val="00932416"/>
    <w:rsid w:val="00933184"/>
    <w:rsid w:val="0093335C"/>
    <w:rsid w:val="0093456B"/>
    <w:rsid w:val="0093656B"/>
    <w:rsid w:val="00936BE6"/>
    <w:rsid w:val="00936E9C"/>
    <w:rsid w:val="00937DF9"/>
    <w:rsid w:val="00937EFF"/>
    <w:rsid w:val="00941151"/>
    <w:rsid w:val="0094382D"/>
    <w:rsid w:val="00943BC2"/>
    <w:rsid w:val="009441D6"/>
    <w:rsid w:val="009442CC"/>
    <w:rsid w:val="00944D20"/>
    <w:rsid w:val="0094508D"/>
    <w:rsid w:val="009465B9"/>
    <w:rsid w:val="0094672D"/>
    <w:rsid w:val="009505F4"/>
    <w:rsid w:val="00950FCC"/>
    <w:rsid w:val="00951106"/>
    <w:rsid w:val="009532A2"/>
    <w:rsid w:val="009538F4"/>
    <w:rsid w:val="009539D5"/>
    <w:rsid w:val="00953EE0"/>
    <w:rsid w:val="009546C4"/>
    <w:rsid w:val="00955815"/>
    <w:rsid w:val="00956F78"/>
    <w:rsid w:val="00957960"/>
    <w:rsid w:val="00962EED"/>
    <w:rsid w:val="00963E08"/>
    <w:rsid w:val="00963EBF"/>
    <w:rsid w:val="00964DC1"/>
    <w:rsid w:val="00966A15"/>
    <w:rsid w:val="00967892"/>
    <w:rsid w:val="009678C1"/>
    <w:rsid w:val="009679C3"/>
    <w:rsid w:val="0097093B"/>
    <w:rsid w:val="00973605"/>
    <w:rsid w:val="009738F9"/>
    <w:rsid w:val="00973D52"/>
    <w:rsid w:val="00974028"/>
    <w:rsid w:val="00974357"/>
    <w:rsid w:val="0097487B"/>
    <w:rsid w:val="0097539B"/>
    <w:rsid w:val="00975BFC"/>
    <w:rsid w:val="00976659"/>
    <w:rsid w:val="009778B9"/>
    <w:rsid w:val="00980009"/>
    <w:rsid w:val="00980812"/>
    <w:rsid w:val="0098190F"/>
    <w:rsid w:val="00981D84"/>
    <w:rsid w:val="00982FCF"/>
    <w:rsid w:val="00983132"/>
    <w:rsid w:val="009831F5"/>
    <w:rsid w:val="00983E18"/>
    <w:rsid w:val="009841E8"/>
    <w:rsid w:val="00984763"/>
    <w:rsid w:val="00985C29"/>
    <w:rsid w:val="00990B68"/>
    <w:rsid w:val="009915B6"/>
    <w:rsid w:val="0099365A"/>
    <w:rsid w:val="009937FC"/>
    <w:rsid w:val="009947B1"/>
    <w:rsid w:val="00995272"/>
    <w:rsid w:val="00995DA7"/>
    <w:rsid w:val="009961C2"/>
    <w:rsid w:val="00997749"/>
    <w:rsid w:val="00997873"/>
    <w:rsid w:val="00997B6D"/>
    <w:rsid w:val="00997C07"/>
    <w:rsid w:val="00997E07"/>
    <w:rsid w:val="009A087D"/>
    <w:rsid w:val="009A1D4C"/>
    <w:rsid w:val="009A2D77"/>
    <w:rsid w:val="009A39E1"/>
    <w:rsid w:val="009A4F19"/>
    <w:rsid w:val="009A5431"/>
    <w:rsid w:val="009A5B01"/>
    <w:rsid w:val="009A7934"/>
    <w:rsid w:val="009B1D84"/>
    <w:rsid w:val="009B1ED7"/>
    <w:rsid w:val="009B26EA"/>
    <w:rsid w:val="009B26F8"/>
    <w:rsid w:val="009B2DE7"/>
    <w:rsid w:val="009B3931"/>
    <w:rsid w:val="009B4706"/>
    <w:rsid w:val="009B49EE"/>
    <w:rsid w:val="009B4CF4"/>
    <w:rsid w:val="009B73C3"/>
    <w:rsid w:val="009C07C4"/>
    <w:rsid w:val="009C07E1"/>
    <w:rsid w:val="009C1C89"/>
    <w:rsid w:val="009C2502"/>
    <w:rsid w:val="009C2CB4"/>
    <w:rsid w:val="009C2EC8"/>
    <w:rsid w:val="009C39C5"/>
    <w:rsid w:val="009C480B"/>
    <w:rsid w:val="009C6E3C"/>
    <w:rsid w:val="009C7AD2"/>
    <w:rsid w:val="009D04B0"/>
    <w:rsid w:val="009D06E0"/>
    <w:rsid w:val="009D0E71"/>
    <w:rsid w:val="009D2A60"/>
    <w:rsid w:val="009D2B54"/>
    <w:rsid w:val="009D2FE6"/>
    <w:rsid w:val="009D4FC0"/>
    <w:rsid w:val="009D58D3"/>
    <w:rsid w:val="009D5DA7"/>
    <w:rsid w:val="009D76DF"/>
    <w:rsid w:val="009E0134"/>
    <w:rsid w:val="009E0580"/>
    <w:rsid w:val="009E0732"/>
    <w:rsid w:val="009E0E27"/>
    <w:rsid w:val="009E0F9D"/>
    <w:rsid w:val="009E20F4"/>
    <w:rsid w:val="009E2353"/>
    <w:rsid w:val="009E264F"/>
    <w:rsid w:val="009E3E1E"/>
    <w:rsid w:val="009E4072"/>
    <w:rsid w:val="009E66A9"/>
    <w:rsid w:val="009E6A97"/>
    <w:rsid w:val="009E7587"/>
    <w:rsid w:val="009F0421"/>
    <w:rsid w:val="009F0560"/>
    <w:rsid w:val="009F14E7"/>
    <w:rsid w:val="009F18FF"/>
    <w:rsid w:val="009F2170"/>
    <w:rsid w:val="009F2A38"/>
    <w:rsid w:val="009F2D9F"/>
    <w:rsid w:val="009F32C2"/>
    <w:rsid w:val="009F3FA4"/>
    <w:rsid w:val="009F4AAA"/>
    <w:rsid w:val="009F4EBD"/>
    <w:rsid w:val="009F4FB7"/>
    <w:rsid w:val="009F5991"/>
    <w:rsid w:val="009F6168"/>
    <w:rsid w:val="009F66C9"/>
    <w:rsid w:val="009F6824"/>
    <w:rsid w:val="009F77E6"/>
    <w:rsid w:val="009F7DDF"/>
    <w:rsid w:val="00A00201"/>
    <w:rsid w:val="00A006D5"/>
    <w:rsid w:val="00A00FAA"/>
    <w:rsid w:val="00A01BD1"/>
    <w:rsid w:val="00A02521"/>
    <w:rsid w:val="00A0262E"/>
    <w:rsid w:val="00A02EAB"/>
    <w:rsid w:val="00A03965"/>
    <w:rsid w:val="00A03CAA"/>
    <w:rsid w:val="00A0538C"/>
    <w:rsid w:val="00A06521"/>
    <w:rsid w:val="00A066A1"/>
    <w:rsid w:val="00A06829"/>
    <w:rsid w:val="00A071CF"/>
    <w:rsid w:val="00A0731D"/>
    <w:rsid w:val="00A0732B"/>
    <w:rsid w:val="00A07345"/>
    <w:rsid w:val="00A0788E"/>
    <w:rsid w:val="00A11089"/>
    <w:rsid w:val="00A11F41"/>
    <w:rsid w:val="00A1225E"/>
    <w:rsid w:val="00A13BA1"/>
    <w:rsid w:val="00A13DAE"/>
    <w:rsid w:val="00A155BD"/>
    <w:rsid w:val="00A15E7C"/>
    <w:rsid w:val="00A16977"/>
    <w:rsid w:val="00A17D10"/>
    <w:rsid w:val="00A2292A"/>
    <w:rsid w:val="00A22B66"/>
    <w:rsid w:val="00A232A4"/>
    <w:rsid w:val="00A23745"/>
    <w:rsid w:val="00A23763"/>
    <w:rsid w:val="00A23AF6"/>
    <w:rsid w:val="00A242EA"/>
    <w:rsid w:val="00A2455F"/>
    <w:rsid w:val="00A24EC0"/>
    <w:rsid w:val="00A2694B"/>
    <w:rsid w:val="00A26A30"/>
    <w:rsid w:val="00A27B2A"/>
    <w:rsid w:val="00A301A6"/>
    <w:rsid w:val="00A3071C"/>
    <w:rsid w:val="00A3101F"/>
    <w:rsid w:val="00A31247"/>
    <w:rsid w:val="00A31744"/>
    <w:rsid w:val="00A31A79"/>
    <w:rsid w:val="00A31E0F"/>
    <w:rsid w:val="00A3207F"/>
    <w:rsid w:val="00A330A6"/>
    <w:rsid w:val="00A3445E"/>
    <w:rsid w:val="00A349AF"/>
    <w:rsid w:val="00A35B91"/>
    <w:rsid w:val="00A36FFF"/>
    <w:rsid w:val="00A37133"/>
    <w:rsid w:val="00A376B1"/>
    <w:rsid w:val="00A378ED"/>
    <w:rsid w:val="00A37CD0"/>
    <w:rsid w:val="00A4053D"/>
    <w:rsid w:val="00A40AEB"/>
    <w:rsid w:val="00A40BB2"/>
    <w:rsid w:val="00A42C64"/>
    <w:rsid w:val="00A42C84"/>
    <w:rsid w:val="00A430DF"/>
    <w:rsid w:val="00A51A40"/>
    <w:rsid w:val="00A52274"/>
    <w:rsid w:val="00A525F8"/>
    <w:rsid w:val="00A52FD0"/>
    <w:rsid w:val="00A53945"/>
    <w:rsid w:val="00A54288"/>
    <w:rsid w:val="00A5442F"/>
    <w:rsid w:val="00A5465D"/>
    <w:rsid w:val="00A54B99"/>
    <w:rsid w:val="00A54CC5"/>
    <w:rsid w:val="00A5527E"/>
    <w:rsid w:val="00A552B2"/>
    <w:rsid w:val="00A55480"/>
    <w:rsid w:val="00A55C8B"/>
    <w:rsid w:val="00A56B1A"/>
    <w:rsid w:val="00A60923"/>
    <w:rsid w:val="00A609DD"/>
    <w:rsid w:val="00A61DFA"/>
    <w:rsid w:val="00A62616"/>
    <w:rsid w:val="00A633E7"/>
    <w:rsid w:val="00A662D2"/>
    <w:rsid w:val="00A66A34"/>
    <w:rsid w:val="00A66A7E"/>
    <w:rsid w:val="00A707ED"/>
    <w:rsid w:val="00A70B1B"/>
    <w:rsid w:val="00A73E68"/>
    <w:rsid w:val="00A757A8"/>
    <w:rsid w:val="00A762BF"/>
    <w:rsid w:val="00A77EA9"/>
    <w:rsid w:val="00A77EBF"/>
    <w:rsid w:val="00A80C48"/>
    <w:rsid w:val="00A81166"/>
    <w:rsid w:val="00A82468"/>
    <w:rsid w:val="00A82C6C"/>
    <w:rsid w:val="00A835F3"/>
    <w:rsid w:val="00A83A18"/>
    <w:rsid w:val="00A8446C"/>
    <w:rsid w:val="00A84947"/>
    <w:rsid w:val="00A85C2F"/>
    <w:rsid w:val="00A85D91"/>
    <w:rsid w:val="00A86C56"/>
    <w:rsid w:val="00A87DD7"/>
    <w:rsid w:val="00A91595"/>
    <w:rsid w:val="00A91D5A"/>
    <w:rsid w:val="00A91F45"/>
    <w:rsid w:val="00A92505"/>
    <w:rsid w:val="00A92E31"/>
    <w:rsid w:val="00A92FA1"/>
    <w:rsid w:val="00A93E68"/>
    <w:rsid w:val="00A93E93"/>
    <w:rsid w:val="00A95840"/>
    <w:rsid w:val="00A9616F"/>
    <w:rsid w:val="00A964EC"/>
    <w:rsid w:val="00A965B4"/>
    <w:rsid w:val="00A97518"/>
    <w:rsid w:val="00AA01C0"/>
    <w:rsid w:val="00AA0DE6"/>
    <w:rsid w:val="00AA2003"/>
    <w:rsid w:val="00AA2578"/>
    <w:rsid w:val="00AA2B9A"/>
    <w:rsid w:val="00AA353B"/>
    <w:rsid w:val="00AA3FB1"/>
    <w:rsid w:val="00AA4099"/>
    <w:rsid w:val="00AA5CC9"/>
    <w:rsid w:val="00AA6250"/>
    <w:rsid w:val="00AA6656"/>
    <w:rsid w:val="00AA6AE2"/>
    <w:rsid w:val="00AA6B94"/>
    <w:rsid w:val="00AA700A"/>
    <w:rsid w:val="00AA792C"/>
    <w:rsid w:val="00AA7DFE"/>
    <w:rsid w:val="00AB03D7"/>
    <w:rsid w:val="00AB0F8A"/>
    <w:rsid w:val="00AB1441"/>
    <w:rsid w:val="00AB18CB"/>
    <w:rsid w:val="00AB2070"/>
    <w:rsid w:val="00AB308D"/>
    <w:rsid w:val="00AB3738"/>
    <w:rsid w:val="00AB5B6F"/>
    <w:rsid w:val="00AB6F0F"/>
    <w:rsid w:val="00AB6F92"/>
    <w:rsid w:val="00AC0CA6"/>
    <w:rsid w:val="00AC0FC7"/>
    <w:rsid w:val="00AC1055"/>
    <w:rsid w:val="00AC2492"/>
    <w:rsid w:val="00AC3CE3"/>
    <w:rsid w:val="00AC4487"/>
    <w:rsid w:val="00AC5D8B"/>
    <w:rsid w:val="00AC6460"/>
    <w:rsid w:val="00AC65F8"/>
    <w:rsid w:val="00AC7DB2"/>
    <w:rsid w:val="00AD0118"/>
    <w:rsid w:val="00AD01ED"/>
    <w:rsid w:val="00AD0615"/>
    <w:rsid w:val="00AD1ADE"/>
    <w:rsid w:val="00AD1BEF"/>
    <w:rsid w:val="00AD2098"/>
    <w:rsid w:val="00AD41B0"/>
    <w:rsid w:val="00AD442D"/>
    <w:rsid w:val="00AD4FD0"/>
    <w:rsid w:val="00AD5947"/>
    <w:rsid w:val="00AD5C18"/>
    <w:rsid w:val="00AD5E6B"/>
    <w:rsid w:val="00AD630E"/>
    <w:rsid w:val="00AD660A"/>
    <w:rsid w:val="00AD6B4D"/>
    <w:rsid w:val="00AD72C9"/>
    <w:rsid w:val="00AD7A2C"/>
    <w:rsid w:val="00AE1157"/>
    <w:rsid w:val="00AE1785"/>
    <w:rsid w:val="00AE1FDD"/>
    <w:rsid w:val="00AE2851"/>
    <w:rsid w:val="00AE2F58"/>
    <w:rsid w:val="00AE392D"/>
    <w:rsid w:val="00AE4426"/>
    <w:rsid w:val="00AE4AC0"/>
    <w:rsid w:val="00AE54A8"/>
    <w:rsid w:val="00AE59E0"/>
    <w:rsid w:val="00AE7C8F"/>
    <w:rsid w:val="00AE7EA2"/>
    <w:rsid w:val="00AE7EB0"/>
    <w:rsid w:val="00AF0371"/>
    <w:rsid w:val="00AF0670"/>
    <w:rsid w:val="00AF21E6"/>
    <w:rsid w:val="00AF25BF"/>
    <w:rsid w:val="00AF3DED"/>
    <w:rsid w:val="00AF5B07"/>
    <w:rsid w:val="00AF637F"/>
    <w:rsid w:val="00AF6758"/>
    <w:rsid w:val="00AF7E38"/>
    <w:rsid w:val="00B00147"/>
    <w:rsid w:val="00B00DFF"/>
    <w:rsid w:val="00B025BA"/>
    <w:rsid w:val="00B02681"/>
    <w:rsid w:val="00B03850"/>
    <w:rsid w:val="00B042D9"/>
    <w:rsid w:val="00B04C20"/>
    <w:rsid w:val="00B04D9A"/>
    <w:rsid w:val="00B07462"/>
    <w:rsid w:val="00B078CC"/>
    <w:rsid w:val="00B07BC5"/>
    <w:rsid w:val="00B100B4"/>
    <w:rsid w:val="00B10F94"/>
    <w:rsid w:val="00B11CA4"/>
    <w:rsid w:val="00B12BEE"/>
    <w:rsid w:val="00B13CD1"/>
    <w:rsid w:val="00B1406E"/>
    <w:rsid w:val="00B14095"/>
    <w:rsid w:val="00B147F1"/>
    <w:rsid w:val="00B14C73"/>
    <w:rsid w:val="00B14EEA"/>
    <w:rsid w:val="00B15DB0"/>
    <w:rsid w:val="00B16002"/>
    <w:rsid w:val="00B16F20"/>
    <w:rsid w:val="00B17187"/>
    <w:rsid w:val="00B17564"/>
    <w:rsid w:val="00B1772D"/>
    <w:rsid w:val="00B1790A"/>
    <w:rsid w:val="00B17B4C"/>
    <w:rsid w:val="00B17DBA"/>
    <w:rsid w:val="00B20E0E"/>
    <w:rsid w:val="00B21202"/>
    <w:rsid w:val="00B232BE"/>
    <w:rsid w:val="00B23ADC"/>
    <w:rsid w:val="00B23BC6"/>
    <w:rsid w:val="00B2484F"/>
    <w:rsid w:val="00B24929"/>
    <w:rsid w:val="00B2684E"/>
    <w:rsid w:val="00B26ACD"/>
    <w:rsid w:val="00B30122"/>
    <w:rsid w:val="00B302F0"/>
    <w:rsid w:val="00B309A9"/>
    <w:rsid w:val="00B312AC"/>
    <w:rsid w:val="00B31F61"/>
    <w:rsid w:val="00B321D2"/>
    <w:rsid w:val="00B32B57"/>
    <w:rsid w:val="00B335A7"/>
    <w:rsid w:val="00B336C8"/>
    <w:rsid w:val="00B33CAE"/>
    <w:rsid w:val="00B347F5"/>
    <w:rsid w:val="00B34D7B"/>
    <w:rsid w:val="00B3558D"/>
    <w:rsid w:val="00B37FF0"/>
    <w:rsid w:val="00B407AC"/>
    <w:rsid w:val="00B4194D"/>
    <w:rsid w:val="00B422D0"/>
    <w:rsid w:val="00B424E3"/>
    <w:rsid w:val="00B42715"/>
    <w:rsid w:val="00B42A3A"/>
    <w:rsid w:val="00B42E5B"/>
    <w:rsid w:val="00B42E93"/>
    <w:rsid w:val="00B44B2E"/>
    <w:rsid w:val="00B44D94"/>
    <w:rsid w:val="00B44E8A"/>
    <w:rsid w:val="00B45535"/>
    <w:rsid w:val="00B4578B"/>
    <w:rsid w:val="00B45C05"/>
    <w:rsid w:val="00B45C54"/>
    <w:rsid w:val="00B45D51"/>
    <w:rsid w:val="00B463DA"/>
    <w:rsid w:val="00B465B4"/>
    <w:rsid w:val="00B46668"/>
    <w:rsid w:val="00B466BB"/>
    <w:rsid w:val="00B469FF"/>
    <w:rsid w:val="00B470A7"/>
    <w:rsid w:val="00B478FC"/>
    <w:rsid w:val="00B47FF6"/>
    <w:rsid w:val="00B5074E"/>
    <w:rsid w:val="00B51DA8"/>
    <w:rsid w:val="00B53054"/>
    <w:rsid w:val="00B53987"/>
    <w:rsid w:val="00B54149"/>
    <w:rsid w:val="00B546F7"/>
    <w:rsid w:val="00B54A18"/>
    <w:rsid w:val="00B54D12"/>
    <w:rsid w:val="00B54F64"/>
    <w:rsid w:val="00B55926"/>
    <w:rsid w:val="00B55A94"/>
    <w:rsid w:val="00B55BBD"/>
    <w:rsid w:val="00B561B8"/>
    <w:rsid w:val="00B561DE"/>
    <w:rsid w:val="00B56464"/>
    <w:rsid w:val="00B570D8"/>
    <w:rsid w:val="00B57CAC"/>
    <w:rsid w:val="00B602C5"/>
    <w:rsid w:val="00B603EA"/>
    <w:rsid w:val="00B60972"/>
    <w:rsid w:val="00B615EC"/>
    <w:rsid w:val="00B61B3C"/>
    <w:rsid w:val="00B62C2F"/>
    <w:rsid w:val="00B63CBF"/>
    <w:rsid w:val="00B6466D"/>
    <w:rsid w:val="00B65705"/>
    <w:rsid w:val="00B659B3"/>
    <w:rsid w:val="00B6641B"/>
    <w:rsid w:val="00B66B58"/>
    <w:rsid w:val="00B66DD1"/>
    <w:rsid w:val="00B67338"/>
    <w:rsid w:val="00B702EF"/>
    <w:rsid w:val="00B71C33"/>
    <w:rsid w:val="00B73011"/>
    <w:rsid w:val="00B748AC"/>
    <w:rsid w:val="00B750A5"/>
    <w:rsid w:val="00B750DC"/>
    <w:rsid w:val="00B75976"/>
    <w:rsid w:val="00B75C3A"/>
    <w:rsid w:val="00B75FFE"/>
    <w:rsid w:val="00B77047"/>
    <w:rsid w:val="00B8004B"/>
    <w:rsid w:val="00B81005"/>
    <w:rsid w:val="00B81828"/>
    <w:rsid w:val="00B81CF0"/>
    <w:rsid w:val="00B83029"/>
    <w:rsid w:val="00B8336C"/>
    <w:rsid w:val="00B8350E"/>
    <w:rsid w:val="00B83E0A"/>
    <w:rsid w:val="00B8454F"/>
    <w:rsid w:val="00B84966"/>
    <w:rsid w:val="00B85E8F"/>
    <w:rsid w:val="00B90654"/>
    <w:rsid w:val="00B90BDA"/>
    <w:rsid w:val="00B910A6"/>
    <w:rsid w:val="00B9172D"/>
    <w:rsid w:val="00B9224E"/>
    <w:rsid w:val="00B93F1B"/>
    <w:rsid w:val="00B94000"/>
    <w:rsid w:val="00B94745"/>
    <w:rsid w:val="00B94F9C"/>
    <w:rsid w:val="00B95367"/>
    <w:rsid w:val="00B957AE"/>
    <w:rsid w:val="00B959D4"/>
    <w:rsid w:val="00B9652A"/>
    <w:rsid w:val="00B96E8F"/>
    <w:rsid w:val="00B970D6"/>
    <w:rsid w:val="00BA1155"/>
    <w:rsid w:val="00BA1F97"/>
    <w:rsid w:val="00BA201F"/>
    <w:rsid w:val="00BA364D"/>
    <w:rsid w:val="00BA41A8"/>
    <w:rsid w:val="00BA467A"/>
    <w:rsid w:val="00BA4C5B"/>
    <w:rsid w:val="00BA5324"/>
    <w:rsid w:val="00BA5818"/>
    <w:rsid w:val="00BA5888"/>
    <w:rsid w:val="00BA608E"/>
    <w:rsid w:val="00BA7E42"/>
    <w:rsid w:val="00BB0FEB"/>
    <w:rsid w:val="00BB1A18"/>
    <w:rsid w:val="00BB1AD3"/>
    <w:rsid w:val="00BB23EC"/>
    <w:rsid w:val="00BB2F4F"/>
    <w:rsid w:val="00BB33BB"/>
    <w:rsid w:val="00BB3EC4"/>
    <w:rsid w:val="00BB47A4"/>
    <w:rsid w:val="00BB5425"/>
    <w:rsid w:val="00BB5F20"/>
    <w:rsid w:val="00BB64E3"/>
    <w:rsid w:val="00BC021B"/>
    <w:rsid w:val="00BC1BF0"/>
    <w:rsid w:val="00BC1C34"/>
    <w:rsid w:val="00BC2CC1"/>
    <w:rsid w:val="00BC3ADA"/>
    <w:rsid w:val="00BC3F52"/>
    <w:rsid w:val="00BC5460"/>
    <w:rsid w:val="00BC6E20"/>
    <w:rsid w:val="00BC7184"/>
    <w:rsid w:val="00BD011C"/>
    <w:rsid w:val="00BD0E50"/>
    <w:rsid w:val="00BD12B7"/>
    <w:rsid w:val="00BD2562"/>
    <w:rsid w:val="00BD26A6"/>
    <w:rsid w:val="00BD28B9"/>
    <w:rsid w:val="00BD31BE"/>
    <w:rsid w:val="00BD378C"/>
    <w:rsid w:val="00BD3817"/>
    <w:rsid w:val="00BD40F2"/>
    <w:rsid w:val="00BD4EC2"/>
    <w:rsid w:val="00BD5597"/>
    <w:rsid w:val="00BD6215"/>
    <w:rsid w:val="00BE00C1"/>
    <w:rsid w:val="00BE0177"/>
    <w:rsid w:val="00BE2663"/>
    <w:rsid w:val="00BE3D9D"/>
    <w:rsid w:val="00BE4064"/>
    <w:rsid w:val="00BE416E"/>
    <w:rsid w:val="00BE4B30"/>
    <w:rsid w:val="00BE5A35"/>
    <w:rsid w:val="00BE5A4F"/>
    <w:rsid w:val="00BE64A8"/>
    <w:rsid w:val="00BE64B8"/>
    <w:rsid w:val="00BE65B2"/>
    <w:rsid w:val="00BE67D2"/>
    <w:rsid w:val="00BE68AA"/>
    <w:rsid w:val="00BE75E8"/>
    <w:rsid w:val="00BF0A5B"/>
    <w:rsid w:val="00BF0AF7"/>
    <w:rsid w:val="00BF11F3"/>
    <w:rsid w:val="00BF157F"/>
    <w:rsid w:val="00BF2367"/>
    <w:rsid w:val="00BF3119"/>
    <w:rsid w:val="00BF3227"/>
    <w:rsid w:val="00BF39C2"/>
    <w:rsid w:val="00BF4EBC"/>
    <w:rsid w:val="00BF60D0"/>
    <w:rsid w:val="00BF6715"/>
    <w:rsid w:val="00BF7CB5"/>
    <w:rsid w:val="00BF7E36"/>
    <w:rsid w:val="00C02D4F"/>
    <w:rsid w:val="00C0523E"/>
    <w:rsid w:val="00C0597E"/>
    <w:rsid w:val="00C05C75"/>
    <w:rsid w:val="00C06476"/>
    <w:rsid w:val="00C072A4"/>
    <w:rsid w:val="00C07D07"/>
    <w:rsid w:val="00C10812"/>
    <w:rsid w:val="00C10F02"/>
    <w:rsid w:val="00C10F1E"/>
    <w:rsid w:val="00C1334C"/>
    <w:rsid w:val="00C155ED"/>
    <w:rsid w:val="00C16077"/>
    <w:rsid w:val="00C16DF8"/>
    <w:rsid w:val="00C16E72"/>
    <w:rsid w:val="00C1762B"/>
    <w:rsid w:val="00C17AD2"/>
    <w:rsid w:val="00C17C20"/>
    <w:rsid w:val="00C20B3A"/>
    <w:rsid w:val="00C212D7"/>
    <w:rsid w:val="00C21FB1"/>
    <w:rsid w:val="00C21FB9"/>
    <w:rsid w:val="00C228C7"/>
    <w:rsid w:val="00C229BC"/>
    <w:rsid w:val="00C22EF6"/>
    <w:rsid w:val="00C24A9A"/>
    <w:rsid w:val="00C24CF6"/>
    <w:rsid w:val="00C24EB2"/>
    <w:rsid w:val="00C26C3F"/>
    <w:rsid w:val="00C27955"/>
    <w:rsid w:val="00C279F5"/>
    <w:rsid w:val="00C27C88"/>
    <w:rsid w:val="00C27FCF"/>
    <w:rsid w:val="00C318B0"/>
    <w:rsid w:val="00C32946"/>
    <w:rsid w:val="00C329F3"/>
    <w:rsid w:val="00C32C76"/>
    <w:rsid w:val="00C33729"/>
    <w:rsid w:val="00C34184"/>
    <w:rsid w:val="00C352B9"/>
    <w:rsid w:val="00C3531C"/>
    <w:rsid w:val="00C354A9"/>
    <w:rsid w:val="00C358EC"/>
    <w:rsid w:val="00C35AB1"/>
    <w:rsid w:val="00C35D5C"/>
    <w:rsid w:val="00C3642A"/>
    <w:rsid w:val="00C40010"/>
    <w:rsid w:val="00C42663"/>
    <w:rsid w:val="00C43364"/>
    <w:rsid w:val="00C4359F"/>
    <w:rsid w:val="00C44F6B"/>
    <w:rsid w:val="00C45684"/>
    <w:rsid w:val="00C456A8"/>
    <w:rsid w:val="00C5072C"/>
    <w:rsid w:val="00C50D84"/>
    <w:rsid w:val="00C5104E"/>
    <w:rsid w:val="00C517A5"/>
    <w:rsid w:val="00C51DB3"/>
    <w:rsid w:val="00C5297D"/>
    <w:rsid w:val="00C5318E"/>
    <w:rsid w:val="00C53BC8"/>
    <w:rsid w:val="00C53F60"/>
    <w:rsid w:val="00C549D0"/>
    <w:rsid w:val="00C5562E"/>
    <w:rsid w:val="00C56496"/>
    <w:rsid w:val="00C56A1B"/>
    <w:rsid w:val="00C56A21"/>
    <w:rsid w:val="00C56CAD"/>
    <w:rsid w:val="00C5773E"/>
    <w:rsid w:val="00C577E0"/>
    <w:rsid w:val="00C57EE5"/>
    <w:rsid w:val="00C602D0"/>
    <w:rsid w:val="00C61FC0"/>
    <w:rsid w:val="00C62765"/>
    <w:rsid w:val="00C629E0"/>
    <w:rsid w:val="00C62ADB"/>
    <w:rsid w:val="00C62CFD"/>
    <w:rsid w:val="00C641CF"/>
    <w:rsid w:val="00C64D69"/>
    <w:rsid w:val="00C64E2B"/>
    <w:rsid w:val="00C65B9C"/>
    <w:rsid w:val="00C65DAD"/>
    <w:rsid w:val="00C66A5E"/>
    <w:rsid w:val="00C66BD1"/>
    <w:rsid w:val="00C66CE0"/>
    <w:rsid w:val="00C67099"/>
    <w:rsid w:val="00C677C1"/>
    <w:rsid w:val="00C7056C"/>
    <w:rsid w:val="00C7084E"/>
    <w:rsid w:val="00C7245A"/>
    <w:rsid w:val="00C73656"/>
    <w:rsid w:val="00C73E60"/>
    <w:rsid w:val="00C7439C"/>
    <w:rsid w:val="00C743FA"/>
    <w:rsid w:val="00C74997"/>
    <w:rsid w:val="00C74A9E"/>
    <w:rsid w:val="00C74EDB"/>
    <w:rsid w:val="00C755C3"/>
    <w:rsid w:val="00C765BA"/>
    <w:rsid w:val="00C7665A"/>
    <w:rsid w:val="00C76BA3"/>
    <w:rsid w:val="00C77138"/>
    <w:rsid w:val="00C7766E"/>
    <w:rsid w:val="00C81279"/>
    <w:rsid w:val="00C81C3C"/>
    <w:rsid w:val="00C81F0A"/>
    <w:rsid w:val="00C82A3B"/>
    <w:rsid w:val="00C83D84"/>
    <w:rsid w:val="00C842EC"/>
    <w:rsid w:val="00C844F3"/>
    <w:rsid w:val="00C84B0E"/>
    <w:rsid w:val="00C85AF5"/>
    <w:rsid w:val="00C85FC9"/>
    <w:rsid w:val="00C86998"/>
    <w:rsid w:val="00C86CEB"/>
    <w:rsid w:val="00C91323"/>
    <w:rsid w:val="00C92A52"/>
    <w:rsid w:val="00C93723"/>
    <w:rsid w:val="00C93BAA"/>
    <w:rsid w:val="00C9401A"/>
    <w:rsid w:val="00C941DF"/>
    <w:rsid w:val="00C942AD"/>
    <w:rsid w:val="00C94623"/>
    <w:rsid w:val="00C957C3"/>
    <w:rsid w:val="00C95CF2"/>
    <w:rsid w:val="00C9615A"/>
    <w:rsid w:val="00C96A0C"/>
    <w:rsid w:val="00C96FEA"/>
    <w:rsid w:val="00C9775F"/>
    <w:rsid w:val="00CA0738"/>
    <w:rsid w:val="00CA22CA"/>
    <w:rsid w:val="00CA2A40"/>
    <w:rsid w:val="00CA3786"/>
    <w:rsid w:val="00CA39ED"/>
    <w:rsid w:val="00CA418F"/>
    <w:rsid w:val="00CA54CA"/>
    <w:rsid w:val="00CA572C"/>
    <w:rsid w:val="00CA64DB"/>
    <w:rsid w:val="00CB1471"/>
    <w:rsid w:val="00CB1A04"/>
    <w:rsid w:val="00CB1A93"/>
    <w:rsid w:val="00CB3147"/>
    <w:rsid w:val="00CB352B"/>
    <w:rsid w:val="00CB4093"/>
    <w:rsid w:val="00CB447F"/>
    <w:rsid w:val="00CB5607"/>
    <w:rsid w:val="00CB5968"/>
    <w:rsid w:val="00CB62CD"/>
    <w:rsid w:val="00CB6877"/>
    <w:rsid w:val="00CB6E0A"/>
    <w:rsid w:val="00CB7CA2"/>
    <w:rsid w:val="00CC0059"/>
    <w:rsid w:val="00CC14CE"/>
    <w:rsid w:val="00CC3062"/>
    <w:rsid w:val="00CC3720"/>
    <w:rsid w:val="00CC39B4"/>
    <w:rsid w:val="00CC5D41"/>
    <w:rsid w:val="00CC631D"/>
    <w:rsid w:val="00CC7576"/>
    <w:rsid w:val="00CC79A6"/>
    <w:rsid w:val="00CD012E"/>
    <w:rsid w:val="00CD01EE"/>
    <w:rsid w:val="00CD178D"/>
    <w:rsid w:val="00CD2213"/>
    <w:rsid w:val="00CD2682"/>
    <w:rsid w:val="00CD2920"/>
    <w:rsid w:val="00CD319F"/>
    <w:rsid w:val="00CD3EA4"/>
    <w:rsid w:val="00CD42BF"/>
    <w:rsid w:val="00CD45ED"/>
    <w:rsid w:val="00CD48C6"/>
    <w:rsid w:val="00CD595D"/>
    <w:rsid w:val="00CD6237"/>
    <w:rsid w:val="00CD6CBE"/>
    <w:rsid w:val="00CD7AA6"/>
    <w:rsid w:val="00CD7FA8"/>
    <w:rsid w:val="00CE097A"/>
    <w:rsid w:val="00CE19B2"/>
    <w:rsid w:val="00CE231C"/>
    <w:rsid w:val="00CE252C"/>
    <w:rsid w:val="00CE4293"/>
    <w:rsid w:val="00CE51E0"/>
    <w:rsid w:val="00CE5433"/>
    <w:rsid w:val="00CE5841"/>
    <w:rsid w:val="00CE61C2"/>
    <w:rsid w:val="00CE6561"/>
    <w:rsid w:val="00CE6FE1"/>
    <w:rsid w:val="00CE7524"/>
    <w:rsid w:val="00CE7BB6"/>
    <w:rsid w:val="00CF1C2B"/>
    <w:rsid w:val="00CF2A30"/>
    <w:rsid w:val="00CF33EF"/>
    <w:rsid w:val="00CF3E49"/>
    <w:rsid w:val="00CF4457"/>
    <w:rsid w:val="00CF4498"/>
    <w:rsid w:val="00CF549D"/>
    <w:rsid w:val="00CF55EB"/>
    <w:rsid w:val="00CF6440"/>
    <w:rsid w:val="00CF6680"/>
    <w:rsid w:val="00CF794B"/>
    <w:rsid w:val="00CF79A1"/>
    <w:rsid w:val="00D00924"/>
    <w:rsid w:val="00D009FE"/>
    <w:rsid w:val="00D01661"/>
    <w:rsid w:val="00D020A7"/>
    <w:rsid w:val="00D028CE"/>
    <w:rsid w:val="00D0421C"/>
    <w:rsid w:val="00D046C1"/>
    <w:rsid w:val="00D04873"/>
    <w:rsid w:val="00D04E10"/>
    <w:rsid w:val="00D055FA"/>
    <w:rsid w:val="00D067DC"/>
    <w:rsid w:val="00D06CB4"/>
    <w:rsid w:val="00D10EB9"/>
    <w:rsid w:val="00D1184D"/>
    <w:rsid w:val="00D1371B"/>
    <w:rsid w:val="00D154BD"/>
    <w:rsid w:val="00D15F90"/>
    <w:rsid w:val="00D162DA"/>
    <w:rsid w:val="00D16693"/>
    <w:rsid w:val="00D17F21"/>
    <w:rsid w:val="00D20181"/>
    <w:rsid w:val="00D20807"/>
    <w:rsid w:val="00D20A0C"/>
    <w:rsid w:val="00D212E5"/>
    <w:rsid w:val="00D2363D"/>
    <w:rsid w:val="00D254C9"/>
    <w:rsid w:val="00D256BA"/>
    <w:rsid w:val="00D25898"/>
    <w:rsid w:val="00D27830"/>
    <w:rsid w:val="00D27C47"/>
    <w:rsid w:val="00D30A86"/>
    <w:rsid w:val="00D30D03"/>
    <w:rsid w:val="00D32783"/>
    <w:rsid w:val="00D327FB"/>
    <w:rsid w:val="00D32AC3"/>
    <w:rsid w:val="00D32FA1"/>
    <w:rsid w:val="00D3341A"/>
    <w:rsid w:val="00D33C0E"/>
    <w:rsid w:val="00D36DEC"/>
    <w:rsid w:val="00D378D6"/>
    <w:rsid w:val="00D37D1B"/>
    <w:rsid w:val="00D37FF3"/>
    <w:rsid w:val="00D4043E"/>
    <w:rsid w:val="00D43212"/>
    <w:rsid w:val="00D43662"/>
    <w:rsid w:val="00D445B4"/>
    <w:rsid w:val="00D45208"/>
    <w:rsid w:val="00D467D3"/>
    <w:rsid w:val="00D5060D"/>
    <w:rsid w:val="00D50B8F"/>
    <w:rsid w:val="00D51C33"/>
    <w:rsid w:val="00D52086"/>
    <w:rsid w:val="00D527F1"/>
    <w:rsid w:val="00D53457"/>
    <w:rsid w:val="00D539A7"/>
    <w:rsid w:val="00D53E04"/>
    <w:rsid w:val="00D54C81"/>
    <w:rsid w:val="00D552B8"/>
    <w:rsid w:val="00D56226"/>
    <w:rsid w:val="00D56F54"/>
    <w:rsid w:val="00D576AE"/>
    <w:rsid w:val="00D57BB4"/>
    <w:rsid w:val="00D57F92"/>
    <w:rsid w:val="00D607A0"/>
    <w:rsid w:val="00D60818"/>
    <w:rsid w:val="00D60A11"/>
    <w:rsid w:val="00D61EA5"/>
    <w:rsid w:val="00D62ABB"/>
    <w:rsid w:val="00D63F0B"/>
    <w:rsid w:val="00D64FE3"/>
    <w:rsid w:val="00D667F8"/>
    <w:rsid w:val="00D67988"/>
    <w:rsid w:val="00D67AA3"/>
    <w:rsid w:val="00D67AE4"/>
    <w:rsid w:val="00D70BBB"/>
    <w:rsid w:val="00D70C73"/>
    <w:rsid w:val="00D70DF0"/>
    <w:rsid w:val="00D7146E"/>
    <w:rsid w:val="00D73D7C"/>
    <w:rsid w:val="00D7518F"/>
    <w:rsid w:val="00D76054"/>
    <w:rsid w:val="00D776A5"/>
    <w:rsid w:val="00D8047F"/>
    <w:rsid w:val="00D80806"/>
    <w:rsid w:val="00D80F68"/>
    <w:rsid w:val="00D81008"/>
    <w:rsid w:val="00D810AE"/>
    <w:rsid w:val="00D81125"/>
    <w:rsid w:val="00D8199D"/>
    <w:rsid w:val="00D81BD8"/>
    <w:rsid w:val="00D826B0"/>
    <w:rsid w:val="00D82B63"/>
    <w:rsid w:val="00D82BA9"/>
    <w:rsid w:val="00D82F43"/>
    <w:rsid w:val="00D83A4A"/>
    <w:rsid w:val="00D83B07"/>
    <w:rsid w:val="00D846E3"/>
    <w:rsid w:val="00D851FE"/>
    <w:rsid w:val="00D8638C"/>
    <w:rsid w:val="00D86A34"/>
    <w:rsid w:val="00D87EC6"/>
    <w:rsid w:val="00D90E80"/>
    <w:rsid w:val="00D90FF1"/>
    <w:rsid w:val="00D94291"/>
    <w:rsid w:val="00D950CA"/>
    <w:rsid w:val="00D95491"/>
    <w:rsid w:val="00D95CC4"/>
    <w:rsid w:val="00D97D94"/>
    <w:rsid w:val="00DA124B"/>
    <w:rsid w:val="00DA1389"/>
    <w:rsid w:val="00DA1659"/>
    <w:rsid w:val="00DA1774"/>
    <w:rsid w:val="00DA1914"/>
    <w:rsid w:val="00DA223B"/>
    <w:rsid w:val="00DA25BC"/>
    <w:rsid w:val="00DA27FE"/>
    <w:rsid w:val="00DA2E00"/>
    <w:rsid w:val="00DA3AFC"/>
    <w:rsid w:val="00DA3E68"/>
    <w:rsid w:val="00DA3EB6"/>
    <w:rsid w:val="00DA46C3"/>
    <w:rsid w:val="00DA588F"/>
    <w:rsid w:val="00DA5A6F"/>
    <w:rsid w:val="00DA70C8"/>
    <w:rsid w:val="00DB0515"/>
    <w:rsid w:val="00DB0A4E"/>
    <w:rsid w:val="00DB0D7E"/>
    <w:rsid w:val="00DB0E19"/>
    <w:rsid w:val="00DB277B"/>
    <w:rsid w:val="00DB2839"/>
    <w:rsid w:val="00DB2D6C"/>
    <w:rsid w:val="00DB3F8F"/>
    <w:rsid w:val="00DB4DA5"/>
    <w:rsid w:val="00DB55BD"/>
    <w:rsid w:val="00DB574F"/>
    <w:rsid w:val="00DB5B00"/>
    <w:rsid w:val="00DB5F39"/>
    <w:rsid w:val="00DB6277"/>
    <w:rsid w:val="00DB6339"/>
    <w:rsid w:val="00DC1161"/>
    <w:rsid w:val="00DC15BF"/>
    <w:rsid w:val="00DC16B4"/>
    <w:rsid w:val="00DC1A5F"/>
    <w:rsid w:val="00DC263A"/>
    <w:rsid w:val="00DC4F2F"/>
    <w:rsid w:val="00DC4F4E"/>
    <w:rsid w:val="00DC51D8"/>
    <w:rsid w:val="00DC5471"/>
    <w:rsid w:val="00DC60E4"/>
    <w:rsid w:val="00DC6A8E"/>
    <w:rsid w:val="00DC6C68"/>
    <w:rsid w:val="00DC792B"/>
    <w:rsid w:val="00DD03DF"/>
    <w:rsid w:val="00DD0D01"/>
    <w:rsid w:val="00DD0EE5"/>
    <w:rsid w:val="00DD4584"/>
    <w:rsid w:val="00DD492E"/>
    <w:rsid w:val="00DD4972"/>
    <w:rsid w:val="00DD6914"/>
    <w:rsid w:val="00DD7B3A"/>
    <w:rsid w:val="00DE0371"/>
    <w:rsid w:val="00DE14B6"/>
    <w:rsid w:val="00DE1C64"/>
    <w:rsid w:val="00DE232C"/>
    <w:rsid w:val="00DE251D"/>
    <w:rsid w:val="00DE2527"/>
    <w:rsid w:val="00DE2C54"/>
    <w:rsid w:val="00DE339B"/>
    <w:rsid w:val="00DE56BE"/>
    <w:rsid w:val="00DE6293"/>
    <w:rsid w:val="00DE63DC"/>
    <w:rsid w:val="00DE787C"/>
    <w:rsid w:val="00DE7A1C"/>
    <w:rsid w:val="00DE7A66"/>
    <w:rsid w:val="00DE7D7C"/>
    <w:rsid w:val="00DF101D"/>
    <w:rsid w:val="00DF241D"/>
    <w:rsid w:val="00DF294C"/>
    <w:rsid w:val="00DF395E"/>
    <w:rsid w:val="00DF483C"/>
    <w:rsid w:val="00DF4DED"/>
    <w:rsid w:val="00DF5E54"/>
    <w:rsid w:val="00DF6135"/>
    <w:rsid w:val="00DF622D"/>
    <w:rsid w:val="00DF6DEF"/>
    <w:rsid w:val="00E016B5"/>
    <w:rsid w:val="00E02D9A"/>
    <w:rsid w:val="00E03467"/>
    <w:rsid w:val="00E035E0"/>
    <w:rsid w:val="00E03C2D"/>
    <w:rsid w:val="00E041F7"/>
    <w:rsid w:val="00E05074"/>
    <w:rsid w:val="00E055E1"/>
    <w:rsid w:val="00E068B3"/>
    <w:rsid w:val="00E069E2"/>
    <w:rsid w:val="00E06A68"/>
    <w:rsid w:val="00E06B93"/>
    <w:rsid w:val="00E06BDB"/>
    <w:rsid w:val="00E07249"/>
    <w:rsid w:val="00E10269"/>
    <w:rsid w:val="00E10BFD"/>
    <w:rsid w:val="00E10D31"/>
    <w:rsid w:val="00E11109"/>
    <w:rsid w:val="00E12433"/>
    <w:rsid w:val="00E12B00"/>
    <w:rsid w:val="00E1321B"/>
    <w:rsid w:val="00E13DC2"/>
    <w:rsid w:val="00E149EB"/>
    <w:rsid w:val="00E15513"/>
    <w:rsid w:val="00E167B4"/>
    <w:rsid w:val="00E16CA2"/>
    <w:rsid w:val="00E171AC"/>
    <w:rsid w:val="00E17A78"/>
    <w:rsid w:val="00E2113F"/>
    <w:rsid w:val="00E21789"/>
    <w:rsid w:val="00E2215D"/>
    <w:rsid w:val="00E2292A"/>
    <w:rsid w:val="00E24585"/>
    <w:rsid w:val="00E24CBF"/>
    <w:rsid w:val="00E25247"/>
    <w:rsid w:val="00E253D4"/>
    <w:rsid w:val="00E25BD5"/>
    <w:rsid w:val="00E26305"/>
    <w:rsid w:val="00E264E4"/>
    <w:rsid w:val="00E2664D"/>
    <w:rsid w:val="00E269A7"/>
    <w:rsid w:val="00E26BF3"/>
    <w:rsid w:val="00E30695"/>
    <w:rsid w:val="00E30AC7"/>
    <w:rsid w:val="00E31299"/>
    <w:rsid w:val="00E3237D"/>
    <w:rsid w:val="00E331D2"/>
    <w:rsid w:val="00E3331A"/>
    <w:rsid w:val="00E33EED"/>
    <w:rsid w:val="00E34E76"/>
    <w:rsid w:val="00E35E63"/>
    <w:rsid w:val="00E35F8D"/>
    <w:rsid w:val="00E36249"/>
    <w:rsid w:val="00E36A68"/>
    <w:rsid w:val="00E36C72"/>
    <w:rsid w:val="00E36CB4"/>
    <w:rsid w:val="00E36E2C"/>
    <w:rsid w:val="00E36E8F"/>
    <w:rsid w:val="00E3744F"/>
    <w:rsid w:val="00E402AF"/>
    <w:rsid w:val="00E40C75"/>
    <w:rsid w:val="00E411D0"/>
    <w:rsid w:val="00E425FF"/>
    <w:rsid w:val="00E42A51"/>
    <w:rsid w:val="00E441CC"/>
    <w:rsid w:val="00E443F0"/>
    <w:rsid w:val="00E460B4"/>
    <w:rsid w:val="00E468A9"/>
    <w:rsid w:val="00E46F3C"/>
    <w:rsid w:val="00E50B0E"/>
    <w:rsid w:val="00E51DF9"/>
    <w:rsid w:val="00E520F6"/>
    <w:rsid w:val="00E52BAF"/>
    <w:rsid w:val="00E53E22"/>
    <w:rsid w:val="00E546EF"/>
    <w:rsid w:val="00E5492E"/>
    <w:rsid w:val="00E54AA7"/>
    <w:rsid w:val="00E55AA4"/>
    <w:rsid w:val="00E56E2F"/>
    <w:rsid w:val="00E60A1A"/>
    <w:rsid w:val="00E61F38"/>
    <w:rsid w:val="00E62291"/>
    <w:rsid w:val="00E65A11"/>
    <w:rsid w:val="00E66D7E"/>
    <w:rsid w:val="00E67A6C"/>
    <w:rsid w:val="00E70E2F"/>
    <w:rsid w:val="00E71C88"/>
    <w:rsid w:val="00E71EEC"/>
    <w:rsid w:val="00E73777"/>
    <w:rsid w:val="00E73FE8"/>
    <w:rsid w:val="00E74AE9"/>
    <w:rsid w:val="00E75A14"/>
    <w:rsid w:val="00E75FA1"/>
    <w:rsid w:val="00E76E6A"/>
    <w:rsid w:val="00E77623"/>
    <w:rsid w:val="00E8010E"/>
    <w:rsid w:val="00E8017E"/>
    <w:rsid w:val="00E80604"/>
    <w:rsid w:val="00E811A1"/>
    <w:rsid w:val="00E81CC8"/>
    <w:rsid w:val="00E82F1F"/>
    <w:rsid w:val="00E83217"/>
    <w:rsid w:val="00E84C07"/>
    <w:rsid w:val="00E85A9E"/>
    <w:rsid w:val="00E862B1"/>
    <w:rsid w:val="00E871E6"/>
    <w:rsid w:val="00E87C1B"/>
    <w:rsid w:val="00E87DAC"/>
    <w:rsid w:val="00E902DD"/>
    <w:rsid w:val="00E90A92"/>
    <w:rsid w:val="00E91280"/>
    <w:rsid w:val="00E9182A"/>
    <w:rsid w:val="00E919A0"/>
    <w:rsid w:val="00E9228E"/>
    <w:rsid w:val="00E9283C"/>
    <w:rsid w:val="00E9325C"/>
    <w:rsid w:val="00E94343"/>
    <w:rsid w:val="00E94B74"/>
    <w:rsid w:val="00E950E2"/>
    <w:rsid w:val="00E963AA"/>
    <w:rsid w:val="00E9648D"/>
    <w:rsid w:val="00E96970"/>
    <w:rsid w:val="00E9796E"/>
    <w:rsid w:val="00E97BDA"/>
    <w:rsid w:val="00EA0BCF"/>
    <w:rsid w:val="00EA168A"/>
    <w:rsid w:val="00EA1FC6"/>
    <w:rsid w:val="00EA2467"/>
    <w:rsid w:val="00EA24CF"/>
    <w:rsid w:val="00EA313A"/>
    <w:rsid w:val="00EA31C0"/>
    <w:rsid w:val="00EA37B6"/>
    <w:rsid w:val="00EA4094"/>
    <w:rsid w:val="00EA4393"/>
    <w:rsid w:val="00EA4D72"/>
    <w:rsid w:val="00EA4E36"/>
    <w:rsid w:val="00EA59D6"/>
    <w:rsid w:val="00EA6625"/>
    <w:rsid w:val="00EA707D"/>
    <w:rsid w:val="00EB01AB"/>
    <w:rsid w:val="00EB0EC0"/>
    <w:rsid w:val="00EB1211"/>
    <w:rsid w:val="00EB1AF0"/>
    <w:rsid w:val="00EB1B65"/>
    <w:rsid w:val="00EB2C38"/>
    <w:rsid w:val="00EB2F71"/>
    <w:rsid w:val="00EB3338"/>
    <w:rsid w:val="00EB3E28"/>
    <w:rsid w:val="00EB5ECE"/>
    <w:rsid w:val="00EB709E"/>
    <w:rsid w:val="00EB7B59"/>
    <w:rsid w:val="00EB7CDD"/>
    <w:rsid w:val="00EC0037"/>
    <w:rsid w:val="00EC0400"/>
    <w:rsid w:val="00EC077D"/>
    <w:rsid w:val="00EC078F"/>
    <w:rsid w:val="00EC18F9"/>
    <w:rsid w:val="00EC1F98"/>
    <w:rsid w:val="00EC2145"/>
    <w:rsid w:val="00EC2922"/>
    <w:rsid w:val="00EC331A"/>
    <w:rsid w:val="00EC3A3E"/>
    <w:rsid w:val="00EC3EFD"/>
    <w:rsid w:val="00EC4FF3"/>
    <w:rsid w:val="00EC65E1"/>
    <w:rsid w:val="00EC7493"/>
    <w:rsid w:val="00EC7DA4"/>
    <w:rsid w:val="00ED00EE"/>
    <w:rsid w:val="00ED0663"/>
    <w:rsid w:val="00ED0F58"/>
    <w:rsid w:val="00ED1663"/>
    <w:rsid w:val="00ED238F"/>
    <w:rsid w:val="00ED2E35"/>
    <w:rsid w:val="00ED2ECE"/>
    <w:rsid w:val="00ED3F02"/>
    <w:rsid w:val="00ED408B"/>
    <w:rsid w:val="00ED42C6"/>
    <w:rsid w:val="00ED6B3C"/>
    <w:rsid w:val="00ED7164"/>
    <w:rsid w:val="00EE0108"/>
    <w:rsid w:val="00EE044C"/>
    <w:rsid w:val="00EE0906"/>
    <w:rsid w:val="00EE0B80"/>
    <w:rsid w:val="00EE121B"/>
    <w:rsid w:val="00EE17B5"/>
    <w:rsid w:val="00EE1935"/>
    <w:rsid w:val="00EE22C2"/>
    <w:rsid w:val="00EE244D"/>
    <w:rsid w:val="00EE2C58"/>
    <w:rsid w:val="00EE5408"/>
    <w:rsid w:val="00EE582F"/>
    <w:rsid w:val="00EE5CC4"/>
    <w:rsid w:val="00EE7401"/>
    <w:rsid w:val="00EE7BBA"/>
    <w:rsid w:val="00EF0C47"/>
    <w:rsid w:val="00EF0E16"/>
    <w:rsid w:val="00EF1DA6"/>
    <w:rsid w:val="00EF3299"/>
    <w:rsid w:val="00EF3BB8"/>
    <w:rsid w:val="00EF43FC"/>
    <w:rsid w:val="00EF45A3"/>
    <w:rsid w:val="00EF4FC7"/>
    <w:rsid w:val="00EF5761"/>
    <w:rsid w:val="00EF5D91"/>
    <w:rsid w:val="00EF738F"/>
    <w:rsid w:val="00F0076F"/>
    <w:rsid w:val="00F01760"/>
    <w:rsid w:val="00F0180A"/>
    <w:rsid w:val="00F01A6A"/>
    <w:rsid w:val="00F02508"/>
    <w:rsid w:val="00F031EC"/>
    <w:rsid w:val="00F03EFD"/>
    <w:rsid w:val="00F05F40"/>
    <w:rsid w:val="00F06053"/>
    <w:rsid w:val="00F07CCB"/>
    <w:rsid w:val="00F105F5"/>
    <w:rsid w:val="00F10A79"/>
    <w:rsid w:val="00F1109A"/>
    <w:rsid w:val="00F1116A"/>
    <w:rsid w:val="00F11190"/>
    <w:rsid w:val="00F11267"/>
    <w:rsid w:val="00F1214A"/>
    <w:rsid w:val="00F12CE2"/>
    <w:rsid w:val="00F12E08"/>
    <w:rsid w:val="00F13DBF"/>
    <w:rsid w:val="00F156B4"/>
    <w:rsid w:val="00F156BD"/>
    <w:rsid w:val="00F16E7B"/>
    <w:rsid w:val="00F17404"/>
    <w:rsid w:val="00F17D26"/>
    <w:rsid w:val="00F202D6"/>
    <w:rsid w:val="00F205B0"/>
    <w:rsid w:val="00F207B2"/>
    <w:rsid w:val="00F221A5"/>
    <w:rsid w:val="00F22982"/>
    <w:rsid w:val="00F22CBB"/>
    <w:rsid w:val="00F232C0"/>
    <w:rsid w:val="00F23A27"/>
    <w:rsid w:val="00F23B55"/>
    <w:rsid w:val="00F23DBE"/>
    <w:rsid w:val="00F250E5"/>
    <w:rsid w:val="00F25AB1"/>
    <w:rsid w:val="00F25E8C"/>
    <w:rsid w:val="00F261C2"/>
    <w:rsid w:val="00F26382"/>
    <w:rsid w:val="00F26C07"/>
    <w:rsid w:val="00F26E39"/>
    <w:rsid w:val="00F2716C"/>
    <w:rsid w:val="00F30E26"/>
    <w:rsid w:val="00F31957"/>
    <w:rsid w:val="00F330A2"/>
    <w:rsid w:val="00F33236"/>
    <w:rsid w:val="00F345CD"/>
    <w:rsid w:val="00F36106"/>
    <w:rsid w:val="00F365E7"/>
    <w:rsid w:val="00F36B38"/>
    <w:rsid w:val="00F37013"/>
    <w:rsid w:val="00F37DF1"/>
    <w:rsid w:val="00F37E06"/>
    <w:rsid w:val="00F400AE"/>
    <w:rsid w:val="00F40EA2"/>
    <w:rsid w:val="00F4113D"/>
    <w:rsid w:val="00F41545"/>
    <w:rsid w:val="00F41AB5"/>
    <w:rsid w:val="00F41EB9"/>
    <w:rsid w:val="00F422D6"/>
    <w:rsid w:val="00F43E4E"/>
    <w:rsid w:val="00F445B9"/>
    <w:rsid w:val="00F4594C"/>
    <w:rsid w:val="00F47DCB"/>
    <w:rsid w:val="00F535B5"/>
    <w:rsid w:val="00F53A5A"/>
    <w:rsid w:val="00F53C5F"/>
    <w:rsid w:val="00F53F06"/>
    <w:rsid w:val="00F55D4D"/>
    <w:rsid w:val="00F5668B"/>
    <w:rsid w:val="00F574EE"/>
    <w:rsid w:val="00F57F83"/>
    <w:rsid w:val="00F60412"/>
    <w:rsid w:val="00F610EB"/>
    <w:rsid w:val="00F61166"/>
    <w:rsid w:val="00F61D8B"/>
    <w:rsid w:val="00F6202D"/>
    <w:rsid w:val="00F63695"/>
    <w:rsid w:val="00F63C1D"/>
    <w:rsid w:val="00F63DFE"/>
    <w:rsid w:val="00F65779"/>
    <w:rsid w:val="00F65E3C"/>
    <w:rsid w:val="00F67F85"/>
    <w:rsid w:val="00F70084"/>
    <w:rsid w:val="00F70E5D"/>
    <w:rsid w:val="00F71679"/>
    <w:rsid w:val="00F71AF6"/>
    <w:rsid w:val="00F736A5"/>
    <w:rsid w:val="00F744EE"/>
    <w:rsid w:val="00F74502"/>
    <w:rsid w:val="00F752E3"/>
    <w:rsid w:val="00F75478"/>
    <w:rsid w:val="00F75CC8"/>
    <w:rsid w:val="00F75FB1"/>
    <w:rsid w:val="00F761E8"/>
    <w:rsid w:val="00F7662E"/>
    <w:rsid w:val="00F76EDD"/>
    <w:rsid w:val="00F7700B"/>
    <w:rsid w:val="00F77AFE"/>
    <w:rsid w:val="00F77FEC"/>
    <w:rsid w:val="00F8056E"/>
    <w:rsid w:val="00F80C5C"/>
    <w:rsid w:val="00F80EF7"/>
    <w:rsid w:val="00F81770"/>
    <w:rsid w:val="00F81C33"/>
    <w:rsid w:val="00F83DDB"/>
    <w:rsid w:val="00F83F40"/>
    <w:rsid w:val="00F8540E"/>
    <w:rsid w:val="00F862FF"/>
    <w:rsid w:val="00F93342"/>
    <w:rsid w:val="00F93DB6"/>
    <w:rsid w:val="00F9454B"/>
    <w:rsid w:val="00F94789"/>
    <w:rsid w:val="00F94DAC"/>
    <w:rsid w:val="00F952A9"/>
    <w:rsid w:val="00F95DC1"/>
    <w:rsid w:val="00F967C2"/>
    <w:rsid w:val="00F978F2"/>
    <w:rsid w:val="00F97D93"/>
    <w:rsid w:val="00F97F9F"/>
    <w:rsid w:val="00F97FDD"/>
    <w:rsid w:val="00FA1720"/>
    <w:rsid w:val="00FA189B"/>
    <w:rsid w:val="00FA1C20"/>
    <w:rsid w:val="00FA2EDE"/>
    <w:rsid w:val="00FA3D14"/>
    <w:rsid w:val="00FA402B"/>
    <w:rsid w:val="00FA4250"/>
    <w:rsid w:val="00FA4F64"/>
    <w:rsid w:val="00FA6359"/>
    <w:rsid w:val="00FA74DB"/>
    <w:rsid w:val="00FA7A08"/>
    <w:rsid w:val="00FB0D39"/>
    <w:rsid w:val="00FB0FDC"/>
    <w:rsid w:val="00FB13FE"/>
    <w:rsid w:val="00FB2B8C"/>
    <w:rsid w:val="00FB2BC7"/>
    <w:rsid w:val="00FB2E26"/>
    <w:rsid w:val="00FB3F31"/>
    <w:rsid w:val="00FB4439"/>
    <w:rsid w:val="00FB7137"/>
    <w:rsid w:val="00FB7223"/>
    <w:rsid w:val="00FB731F"/>
    <w:rsid w:val="00FB7F1A"/>
    <w:rsid w:val="00FC01D6"/>
    <w:rsid w:val="00FC07B3"/>
    <w:rsid w:val="00FC10CC"/>
    <w:rsid w:val="00FC1456"/>
    <w:rsid w:val="00FC2F1B"/>
    <w:rsid w:val="00FC3684"/>
    <w:rsid w:val="00FC36B6"/>
    <w:rsid w:val="00FC3ABB"/>
    <w:rsid w:val="00FC55D4"/>
    <w:rsid w:val="00FC5828"/>
    <w:rsid w:val="00FC58C2"/>
    <w:rsid w:val="00FC7719"/>
    <w:rsid w:val="00FD19AD"/>
    <w:rsid w:val="00FD19FD"/>
    <w:rsid w:val="00FD1CB1"/>
    <w:rsid w:val="00FD1D79"/>
    <w:rsid w:val="00FD2326"/>
    <w:rsid w:val="00FD2438"/>
    <w:rsid w:val="00FD2DBA"/>
    <w:rsid w:val="00FD393C"/>
    <w:rsid w:val="00FD55F7"/>
    <w:rsid w:val="00FD5D87"/>
    <w:rsid w:val="00FD72DB"/>
    <w:rsid w:val="00FD79AA"/>
    <w:rsid w:val="00FE10D9"/>
    <w:rsid w:val="00FE15E2"/>
    <w:rsid w:val="00FE1A32"/>
    <w:rsid w:val="00FE237F"/>
    <w:rsid w:val="00FE2B29"/>
    <w:rsid w:val="00FE4C2E"/>
    <w:rsid w:val="00FE5B10"/>
    <w:rsid w:val="00FE6085"/>
    <w:rsid w:val="00FE6403"/>
    <w:rsid w:val="00FE6A7A"/>
    <w:rsid w:val="00FE7039"/>
    <w:rsid w:val="00FE73CC"/>
    <w:rsid w:val="00FF26D1"/>
    <w:rsid w:val="00FF27CB"/>
    <w:rsid w:val="00FF29F2"/>
    <w:rsid w:val="00FF2AF8"/>
    <w:rsid w:val="00FF2C61"/>
    <w:rsid w:val="00FF2E49"/>
    <w:rsid w:val="00FF390D"/>
    <w:rsid w:val="00FF3E2A"/>
    <w:rsid w:val="00FF538D"/>
    <w:rsid w:val="00FF5E27"/>
    <w:rsid w:val="00FF6541"/>
    <w:rsid w:val="00FF73AE"/>
    <w:rsid w:val="00FF7B0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1F503"/>
  <w15:docId w15:val="{7CD90BFD-077C-46CE-80BB-55A4B8D8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2A0"/>
    <w:rPr>
      <w:sz w:val="24"/>
      <w:szCs w:val="24"/>
    </w:rPr>
  </w:style>
  <w:style w:type="paragraph" w:styleId="Titre1">
    <w:name w:val="heading 1"/>
    <w:basedOn w:val="Normal"/>
    <w:next w:val="Normal"/>
    <w:link w:val="Titre1Car"/>
    <w:uiPriority w:val="9"/>
    <w:qFormat/>
    <w:rsid w:val="00FD55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63F4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qFormat/>
    <w:rsid w:val="006072A0"/>
    <w:pPr>
      <w:keepNext/>
      <w:widowControl w:val="0"/>
      <w:overflowPunct w:val="0"/>
      <w:autoSpaceDE w:val="0"/>
      <w:autoSpaceDN w:val="0"/>
      <w:adjustRightInd w:val="0"/>
      <w:spacing w:before="240" w:after="60"/>
      <w:jc w:val="both"/>
      <w:textAlignment w:val="baseline"/>
      <w:outlineLvl w:val="2"/>
    </w:pPr>
    <w:rPr>
      <w:b/>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rsid w:val="006072A0"/>
    <w:pPr>
      <w:tabs>
        <w:tab w:val="center" w:pos="4536"/>
        <w:tab w:val="right" w:pos="9072"/>
      </w:tabs>
    </w:pPr>
  </w:style>
  <w:style w:type="character" w:styleId="Numrodepage">
    <w:name w:val="page number"/>
    <w:basedOn w:val="Policepardfaut"/>
    <w:rsid w:val="006072A0"/>
  </w:style>
  <w:style w:type="table" w:styleId="Grilledutableau">
    <w:name w:val="Table Grid"/>
    <w:basedOn w:val="TableauNormal"/>
    <w:rsid w:val="0060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2">
    <w:name w:val="Body Text Indent 2"/>
    <w:basedOn w:val="Normal"/>
    <w:rsid w:val="006072A0"/>
    <w:pPr>
      <w:spacing w:after="120" w:line="480" w:lineRule="auto"/>
      <w:ind w:left="283"/>
    </w:pPr>
  </w:style>
  <w:style w:type="paragraph" w:customStyle="1" w:styleId="CarCarCar">
    <w:name w:val="Car Car Car"/>
    <w:basedOn w:val="Normal"/>
    <w:rsid w:val="00A232A4"/>
    <w:pPr>
      <w:spacing w:after="160" w:line="240" w:lineRule="exact"/>
    </w:pPr>
    <w:rPr>
      <w:rFonts w:ascii="Verdana" w:hAnsi="Verdana"/>
      <w:sz w:val="20"/>
      <w:szCs w:val="20"/>
      <w:lang w:val="en-US" w:eastAsia="en-US"/>
    </w:rPr>
  </w:style>
  <w:style w:type="paragraph" w:styleId="Textedebulles">
    <w:name w:val="Balloon Text"/>
    <w:basedOn w:val="Normal"/>
    <w:link w:val="TextedebullesCar"/>
    <w:uiPriority w:val="99"/>
    <w:semiHidden/>
    <w:rsid w:val="0070240F"/>
    <w:rPr>
      <w:rFonts w:ascii="Tahoma" w:hAnsi="Tahoma" w:cs="Tahoma"/>
      <w:sz w:val="16"/>
      <w:szCs w:val="16"/>
    </w:rPr>
  </w:style>
  <w:style w:type="paragraph" w:styleId="Notedebasdepage">
    <w:name w:val="footnote text"/>
    <w:basedOn w:val="Normal"/>
    <w:link w:val="NotedebasdepageCar"/>
    <w:uiPriority w:val="99"/>
    <w:semiHidden/>
    <w:rsid w:val="0074182C"/>
    <w:rPr>
      <w:sz w:val="20"/>
      <w:szCs w:val="20"/>
    </w:rPr>
  </w:style>
  <w:style w:type="character" w:styleId="Appelnotedebasdep">
    <w:name w:val="footnote reference"/>
    <w:basedOn w:val="Policepardfaut"/>
    <w:semiHidden/>
    <w:rsid w:val="0074182C"/>
    <w:rPr>
      <w:vertAlign w:val="superscript"/>
    </w:rPr>
  </w:style>
  <w:style w:type="paragraph" w:styleId="Paragraphedeliste">
    <w:name w:val="List Paragraph"/>
    <w:aliases w:val="Titre1"/>
    <w:basedOn w:val="Normal"/>
    <w:link w:val="ParagraphedelisteCar"/>
    <w:uiPriority w:val="34"/>
    <w:qFormat/>
    <w:rsid w:val="000844D5"/>
    <w:pPr>
      <w:spacing w:after="200" w:line="276" w:lineRule="auto"/>
      <w:ind w:left="720"/>
    </w:pPr>
    <w:rPr>
      <w:rFonts w:ascii="Calibri" w:eastAsia="Calibri" w:hAnsi="Calibri" w:cs="Calibri"/>
      <w:sz w:val="22"/>
      <w:szCs w:val="22"/>
      <w:lang w:eastAsia="en-US"/>
    </w:rPr>
  </w:style>
  <w:style w:type="paragraph" w:customStyle="1" w:styleId="CarCarCarCar">
    <w:name w:val="Car Car Car Car"/>
    <w:basedOn w:val="Normal"/>
    <w:rsid w:val="00564ED5"/>
    <w:pPr>
      <w:spacing w:after="160" w:line="240" w:lineRule="exact"/>
    </w:pPr>
    <w:rPr>
      <w:rFonts w:ascii="Verdana" w:hAnsi="Verdana"/>
      <w:sz w:val="20"/>
      <w:szCs w:val="20"/>
      <w:lang w:val="en-US" w:eastAsia="en-US"/>
    </w:rPr>
  </w:style>
  <w:style w:type="paragraph" w:customStyle="1" w:styleId="CarCarCarCarCarCar">
    <w:name w:val="Car Car Car Car Car Car"/>
    <w:basedOn w:val="Normal"/>
    <w:rsid w:val="004871C2"/>
    <w:pPr>
      <w:spacing w:after="160" w:line="240" w:lineRule="exact"/>
    </w:pPr>
    <w:rPr>
      <w:rFonts w:ascii="Verdana" w:hAnsi="Verdana"/>
      <w:sz w:val="20"/>
      <w:szCs w:val="20"/>
      <w:lang w:val="en-US" w:eastAsia="en-US"/>
    </w:rPr>
  </w:style>
  <w:style w:type="paragraph" w:styleId="En-tte">
    <w:name w:val="header"/>
    <w:basedOn w:val="Normal"/>
    <w:link w:val="En-tteCar"/>
    <w:uiPriority w:val="99"/>
    <w:unhideWhenUsed/>
    <w:rsid w:val="00BB64E3"/>
    <w:pPr>
      <w:tabs>
        <w:tab w:val="center" w:pos="4536"/>
        <w:tab w:val="right" w:pos="9072"/>
      </w:tabs>
    </w:pPr>
  </w:style>
  <w:style w:type="character" w:customStyle="1" w:styleId="En-tteCar">
    <w:name w:val="En-tête Car"/>
    <w:basedOn w:val="Policepardfaut"/>
    <w:link w:val="En-tte"/>
    <w:uiPriority w:val="99"/>
    <w:rsid w:val="00BB64E3"/>
    <w:rPr>
      <w:sz w:val="24"/>
      <w:szCs w:val="24"/>
    </w:rPr>
  </w:style>
  <w:style w:type="paragraph" w:styleId="Titre">
    <w:name w:val="Title"/>
    <w:basedOn w:val="Normal"/>
    <w:next w:val="Normal"/>
    <w:link w:val="TitreCar"/>
    <w:uiPriority w:val="10"/>
    <w:qFormat/>
    <w:rsid w:val="00B34D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B34D7B"/>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extedebullesCar">
    <w:name w:val="Texte de bulles Car"/>
    <w:basedOn w:val="Policepardfaut"/>
    <w:link w:val="Textedebulles"/>
    <w:uiPriority w:val="99"/>
    <w:semiHidden/>
    <w:rsid w:val="001531D9"/>
    <w:rPr>
      <w:rFonts w:ascii="Tahoma" w:hAnsi="Tahoma" w:cs="Tahoma"/>
      <w:sz w:val="16"/>
      <w:szCs w:val="16"/>
    </w:rPr>
  </w:style>
  <w:style w:type="character" w:customStyle="1" w:styleId="PieddepageCar">
    <w:name w:val="Pied de page Car"/>
    <w:basedOn w:val="Policepardfaut"/>
    <w:link w:val="Pieddepage"/>
    <w:uiPriority w:val="99"/>
    <w:rsid w:val="001531D9"/>
    <w:rPr>
      <w:sz w:val="24"/>
      <w:szCs w:val="24"/>
    </w:rPr>
  </w:style>
  <w:style w:type="paragraph" w:styleId="Lgende">
    <w:name w:val="caption"/>
    <w:basedOn w:val="Normal"/>
    <w:next w:val="Normal"/>
    <w:uiPriority w:val="35"/>
    <w:unhideWhenUsed/>
    <w:qFormat/>
    <w:rsid w:val="00C92A52"/>
    <w:pPr>
      <w:spacing w:after="200"/>
    </w:pPr>
    <w:rPr>
      <w:b/>
      <w:bCs/>
      <w:color w:val="4F81BD" w:themeColor="accent1"/>
      <w:sz w:val="18"/>
      <w:szCs w:val="18"/>
    </w:rPr>
  </w:style>
  <w:style w:type="character" w:styleId="Marquedecommentaire">
    <w:name w:val="annotation reference"/>
    <w:basedOn w:val="Policepardfaut"/>
    <w:uiPriority w:val="99"/>
    <w:semiHidden/>
    <w:unhideWhenUsed/>
    <w:rsid w:val="00AF21E6"/>
    <w:rPr>
      <w:sz w:val="16"/>
      <w:szCs w:val="16"/>
    </w:rPr>
  </w:style>
  <w:style w:type="paragraph" w:styleId="Commentaire">
    <w:name w:val="annotation text"/>
    <w:basedOn w:val="Normal"/>
    <w:link w:val="CommentaireCar"/>
    <w:uiPriority w:val="99"/>
    <w:semiHidden/>
    <w:unhideWhenUsed/>
    <w:rsid w:val="00AF21E6"/>
    <w:rPr>
      <w:sz w:val="20"/>
      <w:szCs w:val="20"/>
    </w:rPr>
  </w:style>
  <w:style w:type="character" w:customStyle="1" w:styleId="CommentaireCar">
    <w:name w:val="Commentaire Car"/>
    <w:basedOn w:val="Policepardfaut"/>
    <w:link w:val="Commentaire"/>
    <w:uiPriority w:val="99"/>
    <w:semiHidden/>
    <w:rsid w:val="00AF21E6"/>
  </w:style>
  <w:style w:type="paragraph" w:styleId="Objetducommentaire">
    <w:name w:val="annotation subject"/>
    <w:basedOn w:val="Commentaire"/>
    <w:next w:val="Commentaire"/>
    <w:link w:val="ObjetducommentaireCar"/>
    <w:uiPriority w:val="99"/>
    <w:semiHidden/>
    <w:unhideWhenUsed/>
    <w:rsid w:val="00AF21E6"/>
    <w:rPr>
      <w:b/>
      <w:bCs/>
    </w:rPr>
  </w:style>
  <w:style w:type="character" w:customStyle="1" w:styleId="ObjetducommentaireCar">
    <w:name w:val="Objet du commentaire Car"/>
    <w:basedOn w:val="CommentaireCar"/>
    <w:link w:val="Objetducommentaire"/>
    <w:uiPriority w:val="99"/>
    <w:semiHidden/>
    <w:rsid w:val="00AF21E6"/>
    <w:rPr>
      <w:b/>
      <w:bCs/>
    </w:rPr>
  </w:style>
  <w:style w:type="paragraph" w:styleId="Notedefin">
    <w:name w:val="endnote text"/>
    <w:basedOn w:val="Normal"/>
    <w:link w:val="NotedefinCar"/>
    <w:uiPriority w:val="99"/>
    <w:semiHidden/>
    <w:unhideWhenUsed/>
    <w:rsid w:val="000247EE"/>
    <w:rPr>
      <w:sz w:val="20"/>
      <w:szCs w:val="20"/>
    </w:rPr>
  </w:style>
  <w:style w:type="character" w:customStyle="1" w:styleId="NotedefinCar">
    <w:name w:val="Note de fin Car"/>
    <w:basedOn w:val="Policepardfaut"/>
    <w:link w:val="Notedefin"/>
    <w:uiPriority w:val="99"/>
    <w:semiHidden/>
    <w:rsid w:val="000247EE"/>
  </w:style>
  <w:style w:type="character" w:styleId="Appeldenotedefin">
    <w:name w:val="endnote reference"/>
    <w:basedOn w:val="Policepardfaut"/>
    <w:uiPriority w:val="99"/>
    <w:semiHidden/>
    <w:unhideWhenUsed/>
    <w:rsid w:val="000247EE"/>
    <w:rPr>
      <w:vertAlign w:val="superscript"/>
    </w:rPr>
  </w:style>
  <w:style w:type="character" w:customStyle="1" w:styleId="NotedebasdepageCar">
    <w:name w:val="Note de bas de page Car"/>
    <w:basedOn w:val="Policepardfaut"/>
    <w:link w:val="Notedebasdepage"/>
    <w:uiPriority w:val="99"/>
    <w:semiHidden/>
    <w:rsid w:val="00584E20"/>
  </w:style>
  <w:style w:type="character" w:customStyle="1" w:styleId="Titre1Car">
    <w:name w:val="Titre 1 Car"/>
    <w:basedOn w:val="Policepardfaut"/>
    <w:link w:val="Titre1"/>
    <w:uiPriority w:val="9"/>
    <w:rsid w:val="00FD55F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D55F7"/>
    <w:pPr>
      <w:spacing w:line="259" w:lineRule="auto"/>
      <w:outlineLvl w:val="9"/>
    </w:pPr>
  </w:style>
  <w:style w:type="paragraph" w:styleId="TM3">
    <w:name w:val="toc 3"/>
    <w:basedOn w:val="Normal"/>
    <w:next w:val="Normal"/>
    <w:autoRedefine/>
    <w:uiPriority w:val="39"/>
    <w:unhideWhenUsed/>
    <w:rsid w:val="00FD55F7"/>
    <w:pPr>
      <w:spacing w:after="100"/>
      <w:ind w:left="480"/>
    </w:pPr>
  </w:style>
  <w:style w:type="character" w:styleId="Lienhypertexte">
    <w:name w:val="Hyperlink"/>
    <w:basedOn w:val="Policepardfaut"/>
    <w:uiPriority w:val="99"/>
    <w:unhideWhenUsed/>
    <w:rsid w:val="00FD55F7"/>
    <w:rPr>
      <w:color w:val="0000FF" w:themeColor="hyperlink"/>
      <w:u w:val="single"/>
    </w:rPr>
  </w:style>
  <w:style w:type="character" w:customStyle="1" w:styleId="Titre2Car">
    <w:name w:val="Titre 2 Car"/>
    <w:basedOn w:val="Policepardfaut"/>
    <w:link w:val="Titre2"/>
    <w:uiPriority w:val="9"/>
    <w:rsid w:val="00563F4D"/>
    <w:rPr>
      <w:rFonts w:asciiTheme="majorHAnsi" w:eastAsiaTheme="majorEastAsia" w:hAnsiTheme="majorHAnsi" w:cstheme="majorBidi"/>
      <w:color w:val="365F91" w:themeColor="accent1" w:themeShade="BF"/>
      <w:sz w:val="26"/>
      <w:szCs w:val="26"/>
    </w:rPr>
  </w:style>
  <w:style w:type="paragraph" w:styleId="TM1">
    <w:name w:val="toc 1"/>
    <w:basedOn w:val="Normal"/>
    <w:next w:val="Normal"/>
    <w:autoRedefine/>
    <w:uiPriority w:val="39"/>
    <w:unhideWhenUsed/>
    <w:rsid w:val="000E7893"/>
    <w:pPr>
      <w:tabs>
        <w:tab w:val="left" w:pos="480"/>
        <w:tab w:val="right" w:leader="dot" w:pos="9204"/>
      </w:tabs>
      <w:spacing w:after="100" w:line="360" w:lineRule="auto"/>
    </w:pPr>
    <w:rPr>
      <w:b/>
      <w:noProof/>
      <w:sz w:val="26"/>
      <w:szCs w:val="26"/>
    </w:rPr>
  </w:style>
  <w:style w:type="paragraph" w:styleId="TM2">
    <w:name w:val="toc 2"/>
    <w:basedOn w:val="Normal"/>
    <w:next w:val="Normal"/>
    <w:autoRedefine/>
    <w:uiPriority w:val="39"/>
    <w:unhideWhenUsed/>
    <w:rsid w:val="00587372"/>
    <w:pPr>
      <w:spacing w:after="100"/>
      <w:ind w:left="240"/>
    </w:pPr>
  </w:style>
  <w:style w:type="paragraph" w:styleId="NormalWeb">
    <w:name w:val="Normal (Web)"/>
    <w:basedOn w:val="Normal"/>
    <w:uiPriority w:val="99"/>
    <w:unhideWhenUsed/>
    <w:rsid w:val="001F6889"/>
    <w:pPr>
      <w:spacing w:before="100" w:beforeAutospacing="1" w:after="100" w:afterAutospacing="1"/>
    </w:pPr>
  </w:style>
  <w:style w:type="character" w:customStyle="1" w:styleId="ParagraphedelisteCar">
    <w:name w:val="Paragraphe de liste Car"/>
    <w:aliases w:val="Titre1 Car"/>
    <w:link w:val="Paragraphedeliste"/>
    <w:uiPriority w:val="34"/>
    <w:locked/>
    <w:rsid w:val="00E24CBF"/>
    <w:rPr>
      <w:rFonts w:ascii="Calibri" w:eastAsia="Calibri" w:hAnsi="Calibri" w:cs="Calibri"/>
      <w:sz w:val="22"/>
      <w:szCs w:val="22"/>
      <w:lang w:eastAsia="en-US"/>
    </w:rPr>
  </w:style>
  <w:style w:type="paragraph" w:styleId="Corpsdetexte">
    <w:name w:val="Body Text"/>
    <w:basedOn w:val="Normal"/>
    <w:link w:val="CorpsdetexteCar"/>
    <w:uiPriority w:val="99"/>
    <w:semiHidden/>
    <w:unhideWhenUsed/>
    <w:rsid w:val="0064564E"/>
    <w:pPr>
      <w:spacing w:after="120"/>
    </w:pPr>
  </w:style>
  <w:style w:type="character" w:customStyle="1" w:styleId="CorpsdetexteCar">
    <w:name w:val="Corps de texte Car"/>
    <w:basedOn w:val="Policepardfaut"/>
    <w:link w:val="Corpsdetexte"/>
    <w:uiPriority w:val="99"/>
    <w:semiHidden/>
    <w:rsid w:val="006456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575">
      <w:bodyDiv w:val="1"/>
      <w:marLeft w:val="0"/>
      <w:marRight w:val="0"/>
      <w:marTop w:val="0"/>
      <w:marBottom w:val="0"/>
      <w:divBdr>
        <w:top w:val="none" w:sz="0" w:space="0" w:color="auto"/>
        <w:left w:val="none" w:sz="0" w:space="0" w:color="auto"/>
        <w:bottom w:val="none" w:sz="0" w:space="0" w:color="auto"/>
        <w:right w:val="none" w:sz="0" w:space="0" w:color="auto"/>
      </w:divBdr>
    </w:div>
    <w:div w:id="13268537">
      <w:bodyDiv w:val="1"/>
      <w:marLeft w:val="0"/>
      <w:marRight w:val="0"/>
      <w:marTop w:val="0"/>
      <w:marBottom w:val="0"/>
      <w:divBdr>
        <w:top w:val="none" w:sz="0" w:space="0" w:color="auto"/>
        <w:left w:val="none" w:sz="0" w:space="0" w:color="auto"/>
        <w:bottom w:val="none" w:sz="0" w:space="0" w:color="auto"/>
        <w:right w:val="none" w:sz="0" w:space="0" w:color="auto"/>
      </w:divBdr>
    </w:div>
    <w:div w:id="16277360">
      <w:bodyDiv w:val="1"/>
      <w:marLeft w:val="0"/>
      <w:marRight w:val="0"/>
      <w:marTop w:val="0"/>
      <w:marBottom w:val="0"/>
      <w:divBdr>
        <w:top w:val="none" w:sz="0" w:space="0" w:color="auto"/>
        <w:left w:val="none" w:sz="0" w:space="0" w:color="auto"/>
        <w:bottom w:val="none" w:sz="0" w:space="0" w:color="auto"/>
        <w:right w:val="none" w:sz="0" w:space="0" w:color="auto"/>
      </w:divBdr>
    </w:div>
    <w:div w:id="19480431">
      <w:bodyDiv w:val="1"/>
      <w:marLeft w:val="0"/>
      <w:marRight w:val="0"/>
      <w:marTop w:val="0"/>
      <w:marBottom w:val="0"/>
      <w:divBdr>
        <w:top w:val="none" w:sz="0" w:space="0" w:color="auto"/>
        <w:left w:val="none" w:sz="0" w:space="0" w:color="auto"/>
        <w:bottom w:val="none" w:sz="0" w:space="0" w:color="auto"/>
        <w:right w:val="none" w:sz="0" w:space="0" w:color="auto"/>
      </w:divBdr>
    </w:div>
    <w:div w:id="20710198">
      <w:bodyDiv w:val="1"/>
      <w:marLeft w:val="0"/>
      <w:marRight w:val="0"/>
      <w:marTop w:val="0"/>
      <w:marBottom w:val="0"/>
      <w:divBdr>
        <w:top w:val="none" w:sz="0" w:space="0" w:color="auto"/>
        <w:left w:val="none" w:sz="0" w:space="0" w:color="auto"/>
        <w:bottom w:val="none" w:sz="0" w:space="0" w:color="auto"/>
        <w:right w:val="none" w:sz="0" w:space="0" w:color="auto"/>
      </w:divBdr>
    </w:div>
    <w:div w:id="21908326">
      <w:bodyDiv w:val="1"/>
      <w:marLeft w:val="0"/>
      <w:marRight w:val="0"/>
      <w:marTop w:val="0"/>
      <w:marBottom w:val="0"/>
      <w:divBdr>
        <w:top w:val="none" w:sz="0" w:space="0" w:color="auto"/>
        <w:left w:val="none" w:sz="0" w:space="0" w:color="auto"/>
        <w:bottom w:val="none" w:sz="0" w:space="0" w:color="auto"/>
        <w:right w:val="none" w:sz="0" w:space="0" w:color="auto"/>
      </w:divBdr>
    </w:div>
    <w:div w:id="40180361">
      <w:bodyDiv w:val="1"/>
      <w:marLeft w:val="0"/>
      <w:marRight w:val="0"/>
      <w:marTop w:val="0"/>
      <w:marBottom w:val="0"/>
      <w:divBdr>
        <w:top w:val="none" w:sz="0" w:space="0" w:color="auto"/>
        <w:left w:val="none" w:sz="0" w:space="0" w:color="auto"/>
        <w:bottom w:val="none" w:sz="0" w:space="0" w:color="auto"/>
        <w:right w:val="none" w:sz="0" w:space="0" w:color="auto"/>
      </w:divBdr>
    </w:div>
    <w:div w:id="42948466">
      <w:bodyDiv w:val="1"/>
      <w:marLeft w:val="0"/>
      <w:marRight w:val="0"/>
      <w:marTop w:val="0"/>
      <w:marBottom w:val="0"/>
      <w:divBdr>
        <w:top w:val="none" w:sz="0" w:space="0" w:color="auto"/>
        <w:left w:val="none" w:sz="0" w:space="0" w:color="auto"/>
        <w:bottom w:val="none" w:sz="0" w:space="0" w:color="auto"/>
        <w:right w:val="none" w:sz="0" w:space="0" w:color="auto"/>
      </w:divBdr>
    </w:div>
    <w:div w:id="44329695">
      <w:bodyDiv w:val="1"/>
      <w:marLeft w:val="0"/>
      <w:marRight w:val="0"/>
      <w:marTop w:val="0"/>
      <w:marBottom w:val="0"/>
      <w:divBdr>
        <w:top w:val="none" w:sz="0" w:space="0" w:color="auto"/>
        <w:left w:val="none" w:sz="0" w:space="0" w:color="auto"/>
        <w:bottom w:val="none" w:sz="0" w:space="0" w:color="auto"/>
        <w:right w:val="none" w:sz="0" w:space="0" w:color="auto"/>
      </w:divBdr>
    </w:div>
    <w:div w:id="52238495">
      <w:bodyDiv w:val="1"/>
      <w:marLeft w:val="0"/>
      <w:marRight w:val="0"/>
      <w:marTop w:val="0"/>
      <w:marBottom w:val="0"/>
      <w:divBdr>
        <w:top w:val="none" w:sz="0" w:space="0" w:color="auto"/>
        <w:left w:val="none" w:sz="0" w:space="0" w:color="auto"/>
        <w:bottom w:val="none" w:sz="0" w:space="0" w:color="auto"/>
        <w:right w:val="none" w:sz="0" w:space="0" w:color="auto"/>
      </w:divBdr>
    </w:div>
    <w:div w:id="65568493">
      <w:bodyDiv w:val="1"/>
      <w:marLeft w:val="0"/>
      <w:marRight w:val="0"/>
      <w:marTop w:val="0"/>
      <w:marBottom w:val="0"/>
      <w:divBdr>
        <w:top w:val="none" w:sz="0" w:space="0" w:color="auto"/>
        <w:left w:val="none" w:sz="0" w:space="0" w:color="auto"/>
        <w:bottom w:val="none" w:sz="0" w:space="0" w:color="auto"/>
        <w:right w:val="none" w:sz="0" w:space="0" w:color="auto"/>
      </w:divBdr>
    </w:div>
    <w:div w:id="75132362">
      <w:bodyDiv w:val="1"/>
      <w:marLeft w:val="0"/>
      <w:marRight w:val="0"/>
      <w:marTop w:val="0"/>
      <w:marBottom w:val="0"/>
      <w:divBdr>
        <w:top w:val="none" w:sz="0" w:space="0" w:color="auto"/>
        <w:left w:val="none" w:sz="0" w:space="0" w:color="auto"/>
        <w:bottom w:val="none" w:sz="0" w:space="0" w:color="auto"/>
        <w:right w:val="none" w:sz="0" w:space="0" w:color="auto"/>
      </w:divBdr>
    </w:div>
    <w:div w:id="80689322">
      <w:bodyDiv w:val="1"/>
      <w:marLeft w:val="0"/>
      <w:marRight w:val="0"/>
      <w:marTop w:val="0"/>
      <w:marBottom w:val="0"/>
      <w:divBdr>
        <w:top w:val="none" w:sz="0" w:space="0" w:color="auto"/>
        <w:left w:val="none" w:sz="0" w:space="0" w:color="auto"/>
        <w:bottom w:val="none" w:sz="0" w:space="0" w:color="auto"/>
        <w:right w:val="none" w:sz="0" w:space="0" w:color="auto"/>
      </w:divBdr>
    </w:div>
    <w:div w:id="115560585">
      <w:bodyDiv w:val="1"/>
      <w:marLeft w:val="0"/>
      <w:marRight w:val="0"/>
      <w:marTop w:val="0"/>
      <w:marBottom w:val="0"/>
      <w:divBdr>
        <w:top w:val="none" w:sz="0" w:space="0" w:color="auto"/>
        <w:left w:val="none" w:sz="0" w:space="0" w:color="auto"/>
        <w:bottom w:val="none" w:sz="0" w:space="0" w:color="auto"/>
        <w:right w:val="none" w:sz="0" w:space="0" w:color="auto"/>
      </w:divBdr>
    </w:div>
    <w:div w:id="117797391">
      <w:bodyDiv w:val="1"/>
      <w:marLeft w:val="0"/>
      <w:marRight w:val="0"/>
      <w:marTop w:val="0"/>
      <w:marBottom w:val="0"/>
      <w:divBdr>
        <w:top w:val="none" w:sz="0" w:space="0" w:color="auto"/>
        <w:left w:val="none" w:sz="0" w:space="0" w:color="auto"/>
        <w:bottom w:val="none" w:sz="0" w:space="0" w:color="auto"/>
        <w:right w:val="none" w:sz="0" w:space="0" w:color="auto"/>
      </w:divBdr>
    </w:div>
    <w:div w:id="128472594">
      <w:bodyDiv w:val="1"/>
      <w:marLeft w:val="0"/>
      <w:marRight w:val="0"/>
      <w:marTop w:val="0"/>
      <w:marBottom w:val="0"/>
      <w:divBdr>
        <w:top w:val="none" w:sz="0" w:space="0" w:color="auto"/>
        <w:left w:val="none" w:sz="0" w:space="0" w:color="auto"/>
        <w:bottom w:val="none" w:sz="0" w:space="0" w:color="auto"/>
        <w:right w:val="none" w:sz="0" w:space="0" w:color="auto"/>
      </w:divBdr>
    </w:div>
    <w:div w:id="131561014">
      <w:bodyDiv w:val="1"/>
      <w:marLeft w:val="0"/>
      <w:marRight w:val="0"/>
      <w:marTop w:val="0"/>
      <w:marBottom w:val="0"/>
      <w:divBdr>
        <w:top w:val="none" w:sz="0" w:space="0" w:color="auto"/>
        <w:left w:val="none" w:sz="0" w:space="0" w:color="auto"/>
        <w:bottom w:val="none" w:sz="0" w:space="0" w:color="auto"/>
        <w:right w:val="none" w:sz="0" w:space="0" w:color="auto"/>
      </w:divBdr>
    </w:div>
    <w:div w:id="147745771">
      <w:bodyDiv w:val="1"/>
      <w:marLeft w:val="0"/>
      <w:marRight w:val="0"/>
      <w:marTop w:val="0"/>
      <w:marBottom w:val="0"/>
      <w:divBdr>
        <w:top w:val="none" w:sz="0" w:space="0" w:color="auto"/>
        <w:left w:val="none" w:sz="0" w:space="0" w:color="auto"/>
        <w:bottom w:val="none" w:sz="0" w:space="0" w:color="auto"/>
        <w:right w:val="none" w:sz="0" w:space="0" w:color="auto"/>
      </w:divBdr>
    </w:div>
    <w:div w:id="160001911">
      <w:bodyDiv w:val="1"/>
      <w:marLeft w:val="0"/>
      <w:marRight w:val="0"/>
      <w:marTop w:val="0"/>
      <w:marBottom w:val="0"/>
      <w:divBdr>
        <w:top w:val="none" w:sz="0" w:space="0" w:color="auto"/>
        <w:left w:val="none" w:sz="0" w:space="0" w:color="auto"/>
        <w:bottom w:val="none" w:sz="0" w:space="0" w:color="auto"/>
        <w:right w:val="none" w:sz="0" w:space="0" w:color="auto"/>
      </w:divBdr>
    </w:div>
    <w:div w:id="176432034">
      <w:bodyDiv w:val="1"/>
      <w:marLeft w:val="0"/>
      <w:marRight w:val="0"/>
      <w:marTop w:val="0"/>
      <w:marBottom w:val="0"/>
      <w:divBdr>
        <w:top w:val="none" w:sz="0" w:space="0" w:color="auto"/>
        <w:left w:val="none" w:sz="0" w:space="0" w:color="auto"/>
        <w:bottom w:val="none" w:sz="0" w:space="0" w:color="auto"/>
        <w:right w:val="none" w:sz="0" w:space="0" w:color="auto"/>
      </w:divBdr>
    </w:div>
    <w:div w:id="176965565">
      <w:bodyDiv w:val="1"/>
      <w:marLeft w:val="0"/>
      <w:marRight w:val="0"/>
      <w:marTop w:val="0"/>
      <w:marBottom w:val="0"/>
      <w:divBdr>
        <w:top w:val="none" w:sz="0" w:space="0" w:color="auto"/>
        <w:left w:val="none" w:sz="0" w:space="0" w:color="auto"/>
        <w:bottom w:val="none" w:sz="0" w:space="0" w:color="auto"/>
        <w:right w:val="none" w:sz="0" w:space="0" w:color="auto"/>
      </w:divBdr>
    </w:div>
    <w:div w:id="195822739">
      <w:bodyDiv w:val="1"/>
      <w:marLeft w:val="0"/>
      <w:marRight w:val="0"/>
      <w:marTop w:val="0"/>
      <w:marBottom w:val="0"/>
      <w:divBdr>
        <w:top w:val="none" w:sz="0" w:space="0" w:color="auto"/>
        <w:left w:val="none" w:sz="0" w:space="0" w:color="auto"/>
        <w:bottom w:val="none" w:sz="0" w:space="0" w:color="auto"/>
        <w:right w:val="none" w:sz="0" w:space="0" w:color="auto"/>
      </w:divBdr>
    </w:div>
    <w:div w:id="208418795">
      <w:bodyDiv w:val="1"/>
      <w:marLeft w:val="0"/>
      <w:marRight w:val="0"/>
      <w:marTop w:val="0"/>
      <w:marBottom w:val="0"/>
      <w:divBdr>
        <w:top w:val="none" w:sz="0" w:space="0" w:color="auto"/>
        <w:left w:val="none" w:sz="0" w:space="0" w:color="auto"/>
        <w:bottom w:val="none" w:sz="0" w:space="0" w:color="auto"/>
        <w:right w:val="none" w:sz="0" w:space="0" w:color="auto"/>
      </w:divBdr>
    </w:div>
    <w:div w:id="233130224">
      <w:bodyDiv w:val="1"/>
      <w:marLeft w:val="0"/>
      <w:marRight w:val="0"/>
      <w:marTop w:val="0"/>
      <w:marBottom w:val="0"/>
      <w:divBdr>
        <w:top w:val="none" w:sz="0" w:space="0" w:color="auto"/>
        <w:left w:val="none" w:sz="0" w:space="0" w:color="auto"/>
        <w:bottom w:val="none" w:sz="0" w:space="0" w:color="auto"/>
        <w:right w:val="none" w:sz="0" w:space="0" w:color="auto"/>
      </w:divBdr>
    </w:div>
    <w:div w:id="254022142">
      <w:bodyDiv w:val="1"/>
      <w:marLeft w:val="0"/>
      <w:marRight w:val="0"/>
      <w:marTop w:val="0"/>
      <w:marBottom w:val="0"/>
      <w:divBdr>
        <w:top w:val="none" w:sz="0" w:space="0" w:color="auto"/>
        <w:left w:val="none" w:sz="0" w:space="0" w:color="auto"/>
        <w:bottom w:val="none" w:sz="0" w:space="0" w:color="auto"/>
        <w:right w:val="none" w:sz="0" w:space="0" w:color="auto"/>
      </w:divBdr>
    </w:div>
    <w:div w:id="257102776">
      <w:bodyDiv w:val="1"/>
      <w:marLeft w:val="0"/>
      <w:marRight w:val="0"/>
      <w:marTop w:val="0"/>
      <w:marBottom w:val="0"/>
      <w:divBdr>
        <w:top w:val="none" w:sz="0" w:space="0" w:color="auto"/>
        <w:left w:val="none" w:sz="0" w:space="0" w:color="auto"/>
        <w:bottom w:val="none" w:sz="0" w:space="0" w:color="auto"/>
        <w:right w:val="none" w:sz="0" w:space="0" w:color="auto"/>
      </w:divBdr>
    </w:div>
    <w:div w:id="260374962">
      <w:bodyDiv w:val="1"/>
      <w:marLeft w:val="0"/>
      <w:marRight w:val="0"/>
      <w:marTop w:val="0"/>
      <w:marBottom w:val="0"/>
      <w:divBdr>
        <w:top w:val="none" w:sz="0" w:space="0" w:color="auto"/>
        <w:left w:val="none" w:sz="0" w:space="0" w:color="auto"/>
        <w:bottom w:val="none" w:sz="0" w:space="0" w:color="auto"/>
        <w:right w:val="none" w:sz="0" w:space="0" w:color="auto"/>
      </w:divBdr>
    </w:div>
    <w:div w:id="264653917">
      <w:bodyDiv w:val="1"/>
      <w:marLeft w:val="0"/>
      <w:marRight w:val="0"/>
      <w:marTop w:val="0"/>
      <w:marBottom w:val="0"/>
      <w:divBdr>
        <w:top w:val="none" w:sz="0" w:space="0" w:color="auto"/>
        <w:left w:val="none" w:sz="0" w:space="0" w:color="auto"/>
        <w:bottom w:val="none" w:sz="0" w:space="0" w:color="auto"/>
        <w:right w:val="none" w:sz="0" w:space="0" w:color="auto"/>
      </w:divBdr>
    </w:div>
    <w:div w:id="266937265">
      <w:bodyDiv w:val="1"/>
      <w:marLeft w:val="0"/>
      <w:marRight w:val="0"/>
      <w:marTop w:val="0"/>
      <w:marBottom w:val="0"/>
      <w:divBdr>
        <w:top w:val="none" w:sz="0" w:space="0" w:color="auto"/>
        <w:left w:val="none" w:sz="0" w:space="0" w:color="auto"/>
        <w:bottom w:val="none" w:sz="0" w:space="0" w:color="auto"/>
        <w:right w:val="none" w:sz="0" w:space="0" w:color="auto"/>
      </w:divBdr>
    </w:div>
    <w:div w:id="309023981">
      <w:bodyDiv w:val="1"/>
      <w:marLeft w:val="0"/>
      <w:marRight w:val="0"/>
      <w:marTop w:val="0"/>
      <w:marBottom w:val="0"/>
      <w:divBdr>
        <w:top w:val="none" w:sz="0" w:space="0" w:color="auto"/>
        <w:left w:val="none" w:sz="0" w:space="0" w:color="auto"/>
        <w:bottom w:val="none" w:sz="0" w:space="0" w:color="auto"/>
        <w:right w:val="none" w:sz="0" w:space="0" w:color="auto"/>
      </w:divBdr>
    </w:div>
    <w:div w:id="309553291">
      <w:bodyDiv w:val="1"/>
      <w:marLeft w:val="0"/>
      <w:marRight w:val="0"/>
      <w:marTop w:val="0"/>
      <w:marBottom w:val="0"/>
      <w:divBdr>
        <w:top w:val="none" w:sz="0" w:space="0" w:color="auto"/>
        <w:left w:val="none" w:sz="0" w:space="0" w:color="auto"/>
        <w:bottom w:val="none" w:sz="0" w:space="0" w:color="auto"/>
        <w:right w:val="none" w:sz="0" w:space="0" w:color="auto"/>
      </w:divBdr>
    </w:div>
    <w:div w:id="318340669">
      <w:bodyDiv w:val="1"/>
      <w:marLeft w:val="0"/>
      <w:marRight w:val="0"/>
      <w:marTop w:val="0"/>
      <w:marBottom w:val="0"/>
      <w:divBdr>
        <w:top w:val="none" w:sz="0" w:space="0" w:color="auto"/>
        <w:left w:val="none" w:sz="0" w:space="0" w:color="auto"/>
        <w:bottom w:val="none" w:sz="0" w:space="0" w:color="auto"/>
        <w:right w:val="none" w:sz="0" w:space="0" w:color="auto"/>
      </w:divBdr>
    </w:div>
    <w:div w:id="332924278">
      <w:bodyDiv w:val="1"/>
      <w:marLeft w:val="0"/>
      <w:marRight w:val="0"/>
      <w:marTop w:val="0"/>
      <w:marBottom w:val="0"/>
      <w:divBdr>
        <w:top w:val="none" w:sz="0" w:space="0" w:color="auto"/>
        <w:left w:val="none" w:sz="0" w:space="0" w:color="auto"/>
        <w:bottom w:val="none" w:sz="0" w:space="0" w:color="auto"/>
        <w:right w:val="none" w:sz="0" w:space="0" w:color="auto"/>
      </w:divBdr>
    </w:div>
    <w:div w:id="346449692">
      <w:bodyDiv w:val="1"/>
      <w:marLeft w:val="0"/>
      <w:marRight w:val="0"/>
      <w:marTop w:val="0"/>
      <w:marBottom w:val="0"/>
      <w:divBdr>
        <w:top w:val="none" w:sz="0" w:space="0" w:color="auto"/>
        <w:left w:val="none" w:sz="0" w:space="0" w:color="auto"/>
        <w:bottom w:val="none" w:sz="0" w:space="0" w:color="auto"/>
        <w:right w:val="none" w:sz="0" w:space="0" w:color="auto"/>
      </w:divBdr>
    </w:div>
    <w:div w:id="350031440">
      <w:bodyDiv w:val="1"/>
      <w:marLeft w:val="0"/>
      <w:marRight w:val="0"/>
      <w:marTop w:val="0"/>
      <w:marBottom w:val="0"/>
      <w:divBdr>
        <w:top w:val="none" w:sz="0" w:space="0" w:color="auto"/>
        <w:left w:val="none" w:sz="0" w:space="0" w:color="auto"/>
        <w:bottom w:val="none" w:sz="0" w:space="0" w:color="auto"/>
        <w:right w:val="none" w:sz="0" w:space="0" w:color="auto"/>
      </w:divBdr>
    </w:div>
    <w:div w:id="367222812">
      <w:bodyDiv w:val="1"/>
      <w:marLeft w:val="0"/>
      <w:marRight w:val="0"/>
      <w:marTop w:val="0"/>
      <w:marBottom w:val="0"/>
      <w:divBdr>
        <w:top w:val="none" w:sz="0" w:space="0" w:color="auto"/>
        <w:left w:val="none" w:sz="0" w:space="0" w:color="auto"/>
        <w:bottom w:val="none" w:sz="0" w:space="0" w:color="auto"/>
        <w:right w:val="none" w:sz="0" w:space="0" w:color="auto"/>
      </w:divBdr>
    </w:div>
    <w:div w:id="371270731">
      <w:bodyDiv w:val="1"/>
      <w:marLeft w:val="0"/>
      <w:marRight w:val="0"/>
      <w:marTop w:val="0"/>
      <w:marBottom w:val="0"/>
      <w:divBdr>
        <w:top w:val="none" w:sz="0" w:space="0" w:color="auto"/>
        <w:left w:val="none" w:sz="0" w:space="0" w:color="auto"/>
        <w:bottom w:val="none" w:sz="0" w:space="0" w:color="auto"/>
        <w:right w:val="none" w:sz="0" w:space="0" w:color="auto"/>
      </w:divBdr>
    </w:div>
    <w:div w:id="397169519">
      <w:bodyDiv w:val="1"/>
      <w:marLeft w:val="0"/>
      <w:marRight w:val="0"/>
      <w:marTop w:val="0"/>
      <w:marBottom w:val="0"/>
      <w:divBdr>
        <w:top w:val="none" w:sz="0" w:space="0" w:color="auto"/>
        <w:left w:val="none" w:sz="0" w:space="0" w:color="auto"/>
        <w:bottom w:val="none" w:sz="0" w:space="0" w:color="auto"/>
        <w:right w:val="none" w:sz="0" w:space="0" w:color="auto"/>
      </w:divBdr>
    </w:div>
    <w:div w:id="398947549">
      <w:bodyDiv w:val="1"/>
      <w:marLeft w:val="0"/>
      <w:marRight w:val="0"/>
      <w:marTop w:val="0"/>
      <w:marBottom w:val="0"/>
      <w:divBdr>
        <w:top w:val="none" w:sz="0" w:space="0" w:color="auto"/>
        <w:left w:val="none" w:sz="0" w:space="0" w:color="auto"/>
        <w:bottom w:val="none" w:sz="0" w:space="0" w:color="auto"/>
        <w:right w:val="none" w:sz="0" w:space="0" w:color="auto"/>
      </w:divBdr>
    </w:div>
    <w:div w:id="404497513">
      <w:bodyDiv w:val="1"/>
      <w:marLeft w:val="0"/>
      <w:marRight w:val="0"/>
      <w:marTop w:val="0"/>
      <w:marBottom w:val="0"/>
      <w:divBdr>
        <w:top w:val="none" w:sz="0" w:space="0" w:color="auto"/>
        <w:left w:val="none" w:sz="0" w:space="0" w:color="auto"/>
        <w:bottom w:val="none" w:sz="0" w:space="0" w:color="auto"/>
        <w:right w:val="none" w:sz="0" w:space="0" w:color="auto"/>
      </w:divBdr>
    </w:div>
    <w:div w:id="407459739">
      <w:bodyDiv w:val="1"/>
      <w:marLeft w:val="0"/>
      <w:marRight w:val="0"/>
      <w:marTop w:val="0"/>
      <w:marBottom w:val="0"/>
      <w:divBdr>
        <w:top w:val="none" w:sz="0" w:space="0" w:color="auto"/>
        <w:left w:val="none" w:sz="0" w:space="0" w:color="auto"/>
        <w:bottom w:val="none" w:sz="0" w:space="0" w:color="auto"/>
        <w:right w:val="none" w:sz="0" w:space="0" w:color="auto"/>
      </w:divBdr>
    </w:div>
    <w:div w:id="409893753">
      <w:bodyDiv w:val="1"/>
      <w:marLeft w:val="0"/>
      <w:marRight w:val="0"/>
      <w:marTop w:val="0"/>
      <w:marBottom w:val="0"/>
      <w:divBdr>
        <w:top w:val="none" w:sz="0" w:space="0" w:color="auto"/>
        <w:left w:val="none" w:sz="0" w:space="0" w:color="auto"/>
        <w:bottom w:val="none" w:sz="0" w:space="0" w:color="auto"/>
        <w:right w:val="none" w:sz="0" w:space="0" w:color="auto"/>
      </w:divBdr>
    </w:div>
    <w:div w:id="411046952">
      <w:bodyDiv w:val="1"/>
      <w:marLeft w:val="0"/>
      <w:marRight w:val="0"/>
      <w:marTop w:val="0"/>
      <w:marBottom w:val="0"/>
      <w:divBdr>
        <w:top w:val="none" w:sz="0" w:space="0" w:color="auto"/>
        <w:left w:val="none" w:sz="0" w:space="0" w:color="auto"/>
        <w:bottom w:val="none" w:sz="0" w:space="0" w:color="auto"/>
        <w:right w:val="none" w:sz="0" w:space="0" w:color="auto"/>
      </w:divBdr>
    </w:div>
    <w:div w:id="415396181">
      <w:bodyDiv w:val="1"/>
      <w:marLeft w:val="0"/>
      <w:marRight w:val="0"/>
      <w:marTop w:val="0"/>
      <w:marBottom w:val="0"/>
      <w:divBdr>
        <w:top w:val="none" w:sz="0" w:space="0" w:color="auto"/>
        <w:left w:val="none" w:sz="0" w:space="0" w:color="auto"/>
        <w:bottom w:val="none" w:sz="0" w:space="0" w:color="auto"/>
        <w:right w:val="none" w:sz="0" w:space="0" w:color="auto"/>
      </w:divBdr>
    </w:div>
    <w:div w:id="421922382">
      <w:bodyDiv w:val="1"/>
      <w:marLeft w:val="0"/>
      <w:marRight w:val="0"/>
      <w:marTop w:val="0"/>
      <w:marBottom w:val="0"/>
      <w:divBdr>
        <w:top w:val="none" w:sz="0" w:space="0" w:color="auto"/>
        <w:left w:val="none" w:sz="0" w:space="0" w:color="auto"/>
        <w:bottom w:val="none" w:sz="0" w:space="0" w:color="auto"/>
        <w:right w:val="none" w:sz="0" w:space="0" w:color="auto"/>
      </w:divBdr>
    </w:div>
    <w:div w:id="434831586">
      <w:bodyDiv w:val="1"/>
      <w:marLeft w:val="0"/>
      <w:marRight w:val="0"/>
      <w:marTop w:val="0"/>
      <w:marBottom w:val="0"/>
      <w:divBdr>
        <w:top w:val="none" w:sz="0" w:space="0" w:color="auto"/>
        <w:left w:val="none" w:sz="0" w:space="0" w:color="auto"/>
        <w:bottom w:val="none" w:sz="0" w:space="0" w:color="auto"/>
        <w:right w:val="none" w:sz="0" w:space="0" w:color="auto"/>
      </w:divBdr>
    </w:div>
    <w:div w:id="438379830">
      <w:bodyDiv w:val="1"/>
      <w:marLeft w:val="0"/>
      <w:marRight w:val="0"/>
      <w:marTop w:val="0"/>
      <w:marBottom w:val="0"/>
      <w:divBdr>
        <w:top w:val="none" w:sz="0" w:space="0" w:color="auto"/>
        <w:left w:val="none" w:sz="0" w:space="0" w:color="auto"/>
        <w:bottom w:val="none" w:sz="0" w:space="0" w:color="auto"/>
        <w:right w:val="none" w:sz="0" w:space="0" w:color="auto"/>
      </w:divBdr>
    </w:div>
    <w:div w:id="442111317">
      <w:bodyDiv w:val="1"/>
      <w:marLeft w:val="0"/>
      <w:marRight w:val="0"/>
      <w:marTop w:val="0"/>
      <w:marBottom w:val="0"/>
      <w:divBdr>
        <w:top w:val="none" w:sz="0" w:space="0" w:color="auto"/>
        <w:left w:val="none" w:sz="0" w:space="0" w:color="auto"/>
        <w:bottom w:val="none" w:sz="0" w:space="0" w:color="auto"/>
        <w:right w:val="none" w:sz="0" w:space="0" w:color="auto"/>
      </w:divBdr>
    </w:div>
    <w:div w:id="447503680">
      <w:bodyDiv w:val="1"/>
      <w:marLeft w:val="0"/>
      <w:marRight w:val="0"/>
      <w:marTop w:val="0"/>
      <w:marBottom w:val="0"/>
      <w:divBdr>
        <w:top w:val="none" w:sz="0" w:space="0" w:color="auto"/>
        <w:left w:val="none" w:sz="0" w:space="0" w:color="auto"/>
        <w:bottom w:val="none" w:sz="0" w:space="0" w:color="auto"/>
        <w:right w:val="none" w:sz="0" w:space="0" w:color="auto"/>
      </w:divBdr>
    </w:div>
    <w:div w:id="456798980">
      <w:bodyDiv w:val="1"/>
      <w:marLeft w:val="0"/>
      <w:marRight w:val="0"/>
      <w:marTop w:val="0"/>
      <w:marBottom w:val="0"/>
      <w:divBdr>
        <w:top w:val="none" w:sz="0" w:space="0" w:color="auto"/>
        <w:left w:val="none" w:sz="0" w:space="0" w:color="auto"/>
        <w:bottom w:val="none" w:sz="0" w:space="0" w:color="auto"/>
        <w:right w:val="none" w:sz="0" w:space="0" w:color="auto"/>
      </w:divBdr>
    </w:div>
    <w:div w:id="475732068">
      <w:bodyDiv w:val="1"/>
      <w:marLeft w:val="0"/>
      <w:marRight w:val="0"/>
      <w:marTop w:val="0"/>
      <w:marBottom w:val="0"/>
      <w:divBdr>
        <w:top w:val="none" w:sz="0" w:space="0" w:color="auto"/>
        <w:left w:val="none" w:sz="0" w:space="0" w:color="auto"/>
        <w:bottom w:val="none" w:sz="0" w:space="0" w:color="auto"/>
        <w:right w:val="none" w:sz="0" w:space="0" w:color="auto"/>
      </w:divBdr>
    </w:div>
    <w:div w:id="479276776">
      <w:bodyDiv w:val="1"/>
      <w:marLeft w:val="0"/>
      <w:marRight w:val="0"/>
      <w:marTop w:val="0"/>
      <w:marBottom w:val="0"/>
      <w:divBdr>
        <w:top w:val="none" w:sz="0" w:space="0" w:color="auto"/>
        <w:left w:val="none" w:sz="0" w:space="0" w:color="auto"/>
        <w:bottom w:val="none" w:sz="0" w:space="0" w:color="auto"/>
        <w:right w:val="none" w:sz="0" w:space="0" w:color="auto"/>
      </w:divBdr>
    </w:div>
    <w:div w:id="482043673">
      <w:bodyDiv w:val="1"/>
      <w:marLeft w:val="0"/>
      <w:marRight w:val="0"/>
      <w:marTop w:val="0"/>
      <w:marBottom w:val="0"/>
      <w:divBdr>
        <w:top w:val="none" w:sz="0" w:space="0" w:color="auto"/>
        <w:left w:val="none" w:sz="0" w:space="0" w:color="auto"/>
        <w:bottom w:val="none" w:sz="0" w:space="0" w:color="auto"/>
        <w:right w:val="none" w:sz="0" w:space="0" w:color="auto"/>
      </w:divBdr>
    </w:div>
    <w:div w:id="487527024">
      <w:bodyDiv w:val="1"/>
      <w:marLeft w:val="0"/>
      <w:marRight w:val="0"/>
      <w:marTop w:val="0"/>
      <w:marBottom w:val="0"/>
      <w:divBdr>
        <w:top w:val="none" w:sz="0" w:space="0" w:color="auto"/>
        <w:left w:val="none" w:sz="0" w:space="0" w:color="auto"/>
        <w:bottom w:val="none" w:sz="0" w:space="0" w:color="auto"/>
        <w:right w:val="none" w:sz="0" w:space="0" w:color="auto"/>
      </w:divBdr>
    </w:div>
    <w:div w:id="489519991">
      <w:bodyDiv w:val="1"/>
      <w:marLeft w:val="0"/>
      <w:marRight w:val="0"/>
      <w:marTop w:val="0"/>
      <w:marBottom w:val="0"/>
      <w:divBdr>
        <w:top w:val="none" w:sz="0" w:space="0" w:color="auto"/>
        <w:left w:val="none" w:sz="0" w:space="0" w:color="auto"/>
        <w:bottom w:val="none" w:sz="0" w:space="0" w:color="auto"/>
        <w:right w:val="none" w:sz="0" w:space="0" w:color="auto"/>
      </w:divBdr>
    </w:div>
    <w:div w:id="504439801">
      <w:bodyDiv w:val="1"/>
      <w:marLeft w:val="0"/>
      <w:marRight w:val="0"/>
      <w:marTop w:val="0"/>
      <w:marBottom w:val="0"/>
      <w:divBdr>
        <w:top w:val="none" w:sz="0" w:space="0" w:color="auto"/>
        <w:left w:val="none" w:sz="0" w:space="0" w:color="auto"/>
        <w:bottom w:val="none" w:sz="0" w:space="0" w:color="auto"/>
        <w:right w:val="none" w:sz="0" w:space="0" w:color="auto"/>
      </w:divBdr>
    </w:div>
    <w:div w:id="509686888">
      <w:bodyDiv w:val="1"/>
      <w:marLeft w:val="0"/>
      <w:marRight w:val="0"/>
      <w:marTop w:val="0"/>
      <w:marBottom w:val="0"/>
      <w:divBdr>
        <w:top w:val="none" w:sz="0" w:space="0" w:color="auto"/>
        <w:left w:val="none" w:sz="0" w:space="0" w:color="auto"/>
        <w:bottom w:val="none" w:sz="0" w:space="0" w:color="auto"/>
        <w:right w:val="none" w:sz="0" w:space="0" w:color="auto"/>
      </w:divBdr>
    </w:div>
    <w:div w:id="523175688">
      <w:bodyDiv w:val="1"/>
      <w:marLeft w:val="0"/>
      <w:marRight w:val="0"/>
      <w:marTop w:val="0"/>
      <w:marBottom w:val="0"/>
      <w:divBdr>
        <w:top w:val="none" w:sz="0" w:space="0" w:color="auto"/>
        <w:left w:val="none" w:sz="0" w:space="0" w:color="auto"/>
        <w:bottom w:val="none" w:sz="0" w:space="0" w:color="auto"/>
        <w:right w:val="none" w:sz="0" w:space="0" w:color="auto"/>
      </w:divBdr>
    </w:div>
    <w:div w:id="526406608">
      <w:bodyDiv w:val="1"/>
      <w:marLeft w:val="0"/>
      <w:marRight w:val="0"/>
      <w:marTop w:val="0"/>
      <w:marBottom w:val="0"/>
      <w:divBdr>
        <w:top w:val="none" w:sz="0" w:space="0" w:color="auto"/>
        <w:left w:val="none" w:sz="0" w:space="0" w:color="auto"/>
        <w:bottom w:val="none" w:sz="0" w:space="0" w:color="auto"/>
        <w:right w:val="none" w:sz="0" w:space="0" w:color="auto"/>
      </w:divBdr>
    </w:div>
    <w:div w:id="538517870">
      <w:bodyDiv w:val="1"/>
      <w:marLeft w:val="0"/>
      <w:marRight w:val="0"/>
      <w:marTop w:val="0"/>
      <w:marBottom w:val="0"/>
      <w:divBdr>
        <w:top w:val="none" w:sz="0" w:space="0" w:color="auto"/>
        <w:left w:val="none" w:sz="0" w:space="0" w:color="auto"/>
        <w:bottom w:val="none" w:sz="0" w:space="0" w:color="auto"/>
        <w:right w:val="none" w:sz="0" w:space="0" w:color="auto"/>
      </w:divBdr>
    </w:div>
    <w:div w:id="538707961">
      <w:bodyDiv w:val="1"/>
      <w:marLeft w:val="0"/>
      <w:marRight w:val="0"/>
      <w:marTop w:val="0"/>
      <w:marBottom w:val="0"/>
      <w:divBdr>
        <w:top w:val="none" w:sz="0" w:space="0" w:color="auto"/>
        <w:left w:val="none" w:sz="0" w:space="0" w:color="auto"/>
        <w:bottom w:val="none" w:sz="0" w:space="0" w:color="auto"/>
        <w:right w:val="none" w:sz="0" w:space="0" w:color="auto"/>
      </w:divBdr>
    </w:div>
    <w:div w:id="542182010">
      <w:bodyDiv w:val="1"/>
      <w:marLeft w:val="0"/>
      <w:marRight w:val="0"/>
      <w:marTop w:val="0"/>
      <w:marBottom w:val="0"/>
      <w:divBdr>
        <w:top w:val="none" w:sz="0" w:space="0" w:color="auto"/>
        <w:left w:val="none" w:sz="0" w:space="0" w:color="auto"/>
        <w:bottom w:val="none" w:sz="0" w:space="0" w:color="auto"/>
        <w:right w:val="none" w:sz="0" w:space="0" w:color="auto"/>
      </w:divBdr>
    </w:div>
    <w:div w:id="546571074">
      <w:bodyDiv w:val="1"/>
      <w:marLeft w:val="0"/>
      <w:marRight w:val="0"/>
      <w:marTop w:val="0"/>
      <w:marBottom w:val="0"/>
      <w:divBdr>
        <w:top w:val="none" w:sz="0" w:space="0" w:color="auto"/>
        <w:left w:val="none" w:sz="0" w:space="0" w:color="auto"/>
        <w:bottom w:val="none" w:sz="0" w:space="0" w:color="auto"/>
        <w:right w:val="none" w:sz="0" w:space="0" w:color="auto"/>
      </w:divBdr>
    </w:div>
    <w:div w:id="549658031">
      <w:bodyDiv w:val="1"/>
      <w:marLeft w:val="0"/>
      <w:marRight w:val="0"/>
      <w:marTop w:val="0"/>
      <w:marBottom w:val="0"/>
      <w:divBdr>
        <w:top w:val="none" w:sz="0" w:space="0" w:color="auto"/>
        <w:left w:val="none" w:sz="0" w:space="0" w:color="auto"/>
        <w:bottom w:val="none" w:sz="0" w:space="0" w:color="auto"/>
        <w:right w:val="none" w:sz="0" w:space="0" w:color="auto"/>
      </w:divBdr>
    </w:div>
    <w:div w:id="574095682">
      <w:bodyDiv w:val="1"/>
      <w:marLeft w:val="0"/>
      <w:marRight w:val="0"/>
      <w:marTop w:val="0"/>
      <w:marBottom w:val="0"/>
      <w:divBdr>
        <w:top w:val="none" w:sz="0" w:space="0" w:color="auto"/>
        <w:left w:val="none" w:sz="0" w:space="0" w:color="auto"/>
        <w:bottom w:val="none" w:sz="0" w:space="0" w:color="auto"/>
        <w:right w:val="none" w:sz="0" w:space="0" w:color="auto"/>
      </w:divBdr>
    </w:div>
    <w:div w:id="582639416">
      <w:bodyDiv w:val="1"/>
      <w:marLeft w:val="0"/>
      <w:marRight w:val="0"/>
      <w:marTop w:val="0"/>
      <w:marBottom w:val="0"/>
      <w:divBdr>
        <w:top w:val="none" w:sz="0" w:space="0" w:color="auto"/>
        <w:left w:val="none" w:sz="0" w:space="0" w:color="auto"/>
        <w:bottom w:val="none" w:sz="0" w:space="0" w:color="auto"/>
        <w:right w:val="none" w:sz="0" w:space="0" w:color="auto"/>
      </w:divBdr>
    </w:div>
    <w:div w:id="592402835">
      <w:bodyDiv w:val="1"/>
      <w:marLeft w:val="0"/>
      <w:marRight w:val="0"/>
      <w:marTop w:val="0"/>
      <w:marBottom w:val="0"/>
      <w:divBdr>
        <w:top w:val="none" w:sz="0" w:space="0" w:color="auto"/>
        <w:left w:val="none" w:sz="0" w:space="0" w:color="auto"/>
        <w:bottom w:val="none" w:sz="0" w:space="0" w:color="auto"/>
        <w:right w:val="none" w:sz="0" w:space="0" w:color="auto"/>
      </w:divBdr>
    </w:div>
    <w:div w:id="593324030">
      <w:bodyDiv w:val="1"/>
      <w:marLeft w:val="0"/>
      <w:marRight w:val="0"/>
      <w:marTop w:val="0"/>
      <w:marBottom w:val="0"/>
      <w:divBdr>
        <w:top w:val="none" w:sz="0" w:space="0" w:color="auto"/>
        <w:left w:val="none" w:sz="0" w:space="0" w:color="auto"/>
        <w:bottom w:val="none" w:sz="0" w:space="0" w:color="auto"/>
        <w:right w:val="none" w:sz="0" w:space="0" w:color="auto"/>
      </w:divBdr>
    </w:div>
    <w:div w:id="602298109">
      <w:bodyDiv w:val="1"/>
      <w:marLeft w:val="0"/>
      <w:marRight w:val="0"/>
      <w:marTop w:val="0"/>
      <w:marBottom w:val="0"/>
      <w:divBdr>
        <w:top w:val="none" w:sz="0" w:space="0" w:color="auto"/>
        <w:left w:val="none" w:sz="0" w:space="0" w:color="auto"/>
        <w:bottom w:val="none" w:sz="0" w:space="0" w:color="auto"/>
        <w:right w:val="none" w:sz="0" w:space="0" w:color="auto"/>
      </w:divBdr>
    </w:div>
    <w:div w:id="607350330">
      <w:bodyDiv w:val="1"/>
      <w:marLeft w:val="0"/>
      <w:marRight w:val="0"/>
      <w:marTop w:val="0"/>
      <w:marBottom w:val="0"/>
      <w:divBdr>
        <w:top w:val="none" w:sz="0" w:space="0" w:color="auto"/>
        <w:left w:val="none" w:sz="0" w:space="0" w:color="auto"/>
        <w:bottom w:val="none" w:sz="0" w:space="0" w:color="auto"/>
        <w:right w:val="none" w:sz="0" w:space="0" w:color="auto"/>
      </w:divBdr>
    </w:div>
    <w:div w:id="625737876">
      <w:bodyDiv w:val="1"/>
      <w:marLeft w:val="0"/>
      <w:marRight w:val="0"/>
      <w:marTop w:val="0"/>
      <w:marBottom w:val="0"/>
      <w:divBdr>
        <w:top w:val="none" w:sz="0" w:space="0" w:color="auto"/>
        <w:left w:val="none" w:sz="0" w:space="0" w:color="auto"/>
        <w:bottom w:val="none" w:sz="0" w:space="0" w:color="auto"/>
        <w:right w:val="none" w:sz="0" w:space="0" w:color="auto"/>
      </w:divBdr>
    </w:div>
    <w:div w:id="631444243">
      <w:bodyDiv w:val="1"/>
      <w:marLeft w:val="0"/>
      <w:marRight w:val="0"/>
      <w:marTop w:val="0"/>
      <w:marBottom w:val="0"/>
      <w:divBdr>
        <w:top w:val="none" w:sz="0" w:space="0" w:color="auto"/>
        <w:left w:val="none" w:sz="0" w:space="0" w:color="auto"/>
        <w:bottom w:val="none" w:sz="0" w:space="0" w:color="auto"/>
        <w:right w:val="none" w:sz="0" w:space="0" w:color="auto"/>
      </w:divBdr>
    </w:div>
    <w:div w:id="638800068">
      <w:bodyDiv w:val="1"/>
      <w:marLeft w:val="0"/>
      <w:marRight w:val="0"/>
      <w:marTop w:val="0"/>
      <w:marBottom w:val="0"/>
      <w:divBdr>
        <w:top w:val="none" w:sz="0" w:space="0" w:color="auto"/>
        <w:left w:val="none" w:sz="0" w:space="0" w:color="auto"/>
        <w:bottom w:val="none" w:sz="0" w:space="0" w:color="auto"/>
        <w:right w:val="none" w:sz="0" w:space="0" w:color="auto"/>
      </w:divBdr>
    </w:div>
    <w:div w:id="648679756">
      <w:bodyDiv w:val="1"/>
      <w:marLeft w:val="0"/>
      <w:marRight w:val="0"/>
      <w:marTop w:val="0"/>
      <w:marBottom w:val="0"/>
      <w:divBdr>
        <w:top w:val="none" w:sz="0" w:space="0" w:color="auto"/>
        <w:left w:val="none" w:sz="0" w:space="0" w:color="auto"/>
        <w:bottom w:val="none" w:sz="0" w:space="0" w:color="auto"/>
        <w:right w:val="none" w:sz="0" w:space="0" w:color="auto"/>
      </w:divBdr>
    </w:div>
    <w:div w:id="661543578">
      <w:bodyDiv w:val="1"/>
      <w:marLeft w:val="0"/>
      <w:marRight w:val="0"/>
      <w:marTop w:val="0"/>
      <w:marBottom w:val="0"/>
      <w:divBdr>
        <w:top w:val="none" w:sz="0" w:space="0" w:color="auto"/>
        <w:left w:val="none" w:sz="0" w:space="0" w:color="auto"/>
        <w:bottom w:val="none" w:sz="0" w:space="0" w:color="auto"/>
        <w:right w:val="none" w:sz="0" w:space="0" w:color="auto"/>
      </w:divBdr>
    </w:div>
    <w:div w:id="694161389">
      <w:bodyDiv w:val="1"/>
      <w:marLeft w:val="0"/>
      <w:marRight w:val="0"/>
      <w:marTop w:val="0"/>
      <w:marBottom w:val="0"/>
      <w:divBdr>
        <w:top w:val="none" w:sz="0" w:space="0" w:color="auto"/>
        <w:left w:val="none" w:sz="0" w:space="0" w:color="auto"/>
        <w:bottom w:val="none" w:sz="0" w:space="0" w:color="auto"/>
        <w:right w:val="none" w:sz="0" w:space="0" w:color="auto"/>
      </w:divBdr>
    </w:div>
    <w:div w:id="702629615">
      <w:bodyDiv w:val="1"/>
      <w:marLeft w:val="0"/>
      <w:marRight w:val="0"/>
      <w:marTop w:val="0"/>
      <w:marBottom w:val="0"/>
      <w:divBdr>
        <w:top w:val="none" w:sz="0" w:space="0" w:color="auto"/>
        <w:left w:val="none" w:sz="0" w:space="0" w:color="auto"/>
        <w:bottom w:val="none" w:sz="0" w:space="0" w:color="auto"/>
        <w:right w:val="none" w:sz="0" w:space="0" w:color="auto"/>
      </w:divBdr>
    </w:div>
    <w:div w:id="704906170">
      <w:bodyDiv w:val="1"/>
      <w:marLeft w:val="0"/>
      <w:marRight w:val="0"/>
      <w:marTop w:val="0"/>
      <w:marBottom w:val="0"/>
      <w:divBdr>
        <w:top w:val="none" w:sz="0" w:space="0" w:color="auto"/>
        <w:left w:val="none" w:sz="0" w:space="0" w:color="auto"/>
        <w:bottom w:val="none" w:sz="0" w:space="0" w:color="auto"/>
        <w:right w:val="none" w:sz="0" w:space="0" w:color="auto"/>
      </w:divBdr>
    </w:div>
    <w:div w:id="707533504">
      <w:bodyDiv w:val="1"/>
      <w:marLeft w:val="0"/>
      <w:marRight w:val="0"/>
      <w:marTop w:val="0"/>
      <w:marBottom w:val="0"/>
      <w:divBdr>
        <w:top w:val="none" w:sz="0" w:space="0" w:color="auto"/>
        <w:left w:val="none" w:sz="0" w:space="0" w:color="auto"/>
        <w:bottom w:val="none" w:sz="0" w:space="0" w:color="auto"/>
        <w:right w:val="none" w:sz="0" w:space="0" w:color="auto"/>
      </w:divBdr>
    </w:div>
    <w:div w:id="714888618">
      <w:bodyDiv w:val="1"/>
      <w:marLeft w:val="0"/>
      <w:marRight w:val="0"/>
      <w:marTop w:val="0"/>
      <w:marBottom w:val="0"/>
      <w:divBdr>
        <w:top w:val="none" w:sz="0" w:space="0" w:color="auto"/>
        <w:left w:val="none" w:sz="0" w:space="0" w:color="auto"/>
        <w:bottom w:val="none" w:sz="0" w:space="0" w:color="auto"/>
        <w:right w:val="none" w:sz="0" w:space="0" w:color="auto"/>
      </w:divBdr>
    </w:div>
    <w:div w:id="715354093">
      <w:bodyDiv w:val="1"/>
      <w:marLeft w:val="0"/>
      <w:marRight w:val="0"/>
      <w:marTop w:val="0"/>
      <w:marBottom w:val="0"/>
      <w:divBdr>
        <w:top w:val="none" w:sz="0" w:space="0" w:color="auto"/>
        <w:left w:val="none" w:sz="0" w:space="0" w:color="auto"/>
        <w:bottom w:val="none" w:sz="0" w:space="0" w:color="auto"/>
        <w:right w:val="none" w:sz="0" w:space="0" w:color="auto"/>
      </w:divBdr>
    </w:div>
    <w:div w:id="719984056">
      <w:bodyDiv w:val="1"/>
      <w:marLeft w:val="0"/>
      <w:marRight w:val="0"/>
      <w:marTop w:val="0"/>
      <w:marBottom w:val="0"/>
      <w:divBdr>
        <w:top w:val="none" w:sz="0" w:space="0" w:color="auto"/>
        <w:left w:val="none" w:sz="0" w:space="0" w:color="auto"/>
        <w:bottom w:val="none" w:sz="0" w:space="0" w:color="auto"/>
        <w:right w:val="none" w:sz="0" w:space="0" w:color="auto"/>
      </w:divBdr>
    </w:div>
    <w:div w:id="722871471">
      <w:bodyDiv w:val="1"/>
      <w:marLeft w:val="0"/>
      <w:marRight w:val="0"/>
      <w:marTop w:val="0"/>
      <w:marBottom w:val="0"/>
      <w:divBdr>
        <w:top w:val="none" w:sz="0" w:space="0" w:color="auto"/>
        <w:left w:val="none" w:sz="0" w:space="0" w:color="auto"/>
        <w:bottom w:val="none" w:sz="0" w:space="0" w:color="auto"/>
        <w:right w:val="none" w:sz="0" w:space="0" w:color="auto"/>
      </w:divBdr>
    </w:div>
    <w:div w:id="730426234">
      <w:bodyDiv w:val="1"/>
      <w:marLeft w:val="0"/>
      <w:marRight w:val="0"/>
      <w:marTop w:val="0"/>
      <w:marBottom w:val="0"/>
      <w:divBdr>
        <w:top w:val="none" w:sz="0" w:space="0" w:color="auto"/>
        <w:left w:val="none" w:sz="0" w:space="0" w:color="auto"/>
        <w:bottom w:val="none" w:sz="0" w:space="0" w:color="auto"/>
        <w:right w:val="none" w:sz="0" w:space="0" w:color="auto"/>
      </w:divBdr>
    </w:div>
    <w:div w:id="730807160">
      <w:bodyDiv w:val="1"/>
      <w:marLeft w:val="0"/>
      <w:marRight w:val="0"/>
      <w:marTop w:val="0"/>
      <w:marBottom w:val="0"/>
      <w:divBdr>
        <w:top w:val="none" w:sz="0" w:space="0" w:color="auto"/>
        <w:left w:val="none" w:sz="0" w:space="0" w:color="auto"/>
        <w:bottom w:val="none" w:sz="0" w:space="0" w:color="auto"/>
        <w:right w:val="none" w:sz="0" w:space="0" w:color="auto"/>
      </w:divBdr>
    </w:div>
    <w:div w:id="733359924">
      <w:bodyDiv w:val="1"/>
      <w:marLeft w:val="0"/>
      <w:marRight w:val="0"/>
      <w:marTop w:val="0"/>
      <w:marBottom w:val="0"/>
      <w:divBdr>
        <w:top w:val="none" w:sz="0" w:space="0" w:color="auto"/>
        <w:left w:val="none" w:sz="0" w:space="0" w:color="auto"/>
        <w:bottom w:val="none" w:sz="0" w:space="0" w:color="auto"/>
        <w:right w:val="none" w:sz="0" w:space="0" w:color="auto"/>
      </w:divBdr>
    </w:div>
    <w:div w:id="733433384">
      <w:bodyDiv w:val="1"/>
      <w:marLeft w:val="0"/>
      <w:marRight w:val="0"/>
      <w:marTop w:val="0"/>
      <w:marBottom w:val="0"/>
      <w:divBdr>
        <w:top w:val="none" w:sz="0" w:space="0" w:color="auto"/>
        <w:left w:val="none" w:sz="0" w:space="0" w:color="auto"/>
        <w:bottom w:val="none" w:sz="0" w:space="0" w:color="auto"/>
        <w:right w:val="none" w:sz="0" w:space="0" w:color="auto"/>
      </w:divBdr>
    </w:div>
    <w:div w:id="743333651">
      <w:bodyDiv w:val="1"/>
      <w:marLeft w:val="0"/>
      <w:marRight w:val="0"/>
      <w:marTop w:val="0"/>
      <w:marBottom w:val="0"/>
      <w:divBdr>
        <w:top w:val="none" w:sz="0" w:space="0" w:color="auto"/>
        <w:left w:val="none" w:sz="0" w:space="0" w:color="auto"/>
        <w:bottom w:val="none" w:sz="0" w:space="0" w:color="auto"/>
        <w:right w:val="none" w:sz="0" w:space="0" w:color="auto"/>
      </w:divBdr>
    </w:div>
    <w:div w:id="754860058">
      <w:bodyDiv w:val="1"/>
      <w:marLeft w:val="0"/>
      <w:marRight w:val="0"/>
      <w:marTop w:val="0"/>
      <w:marBottom w:val="0"/>
      <w:divBdr>
        <w:top w:val="none" w:sz="0" w:space="0" w:color="auto"/>
        <w:left w:val="none" w:sz="0" w:space="0" w:color="auto"/>
        <w:bottom w:val="none" w:sz="0" w:space="0" w:color="auto"/>
        <w:right w:val="none" w:sz="0" w:space="0" w:color="auto"/>
      </w:divBdr>
    </w:div>
    <w:div w:id="760371499">
      <w:bodyDiv w:val="1"/>
      <w:marLeft w:val="0"/>
      <w:marRight w:val="0"/>
      <w:marTop w:val="0"/>
      <w:marBottom w:val="0"/>
      <w:divBdr>
        <w:top w:val="none" w:sz="0" w:space="0" w:color="auto"/>
        <w:left w:val="none" w:sz="0" w:space="0" w:color="auto"/>
        <w:bottom w:val="none" w:sz="0" w:space="0" w:color="auto"/>
        <w:right w:val="none" w:sz="0" w:space="0" w:color="auto"/>
      </w:divBdr>
    </w:div>
    <w:div w:id="761148398">
      <w:bodyDiv w:val="1"/>
      <w:marLeft w:val="0"/>
      <w:marRight w:val="0"/>
      <w:marTop w:val="0"/>
      <w:marBottom w:val="0"/>
      <w:divBdr>
        <w:top w:val="none" w:sz="0" w:space="0" w:color="auto"/>
        <w:left w:val="none" w:sz="0" w:space="0" w:color="auto"/>
        <w:bottom w:val="none" w:sz="0" w:space="0" w:color="auto"/>
        <w:right w:val="none" w:sz="0" w:space="0" w:color="auto"/>
      </w:divBdr>
    </w:div>
    <w:div w:id="776799571">
      <w:bodyDiv w:val="1"/>
      <w:marLeft w:val="0"/>
      <w:marRight w:val="0"/>
      <w:marTop w:val="0"/>
      <w:marBottom w:val="0"/>
      <w:divBdr>
        <w:top w:val="none" w:sz="0" w:space="0" w:color="auto"/>
        <w:left w:val="none" w:sz="0" w:space="0" w:color="auto"/>
        <w:bottom w:val="none" w:sz="0" w:space="0" w:color="auto"/>
        <w:right w:val="none" w:sz="0" w:space="0" w:color="auto"/>
      </w:divBdr>
    </w:div>
    <w:div w:id="780883348">
      <w:bodyDiv w:val="1"/>
      <w:marLeft w:val="0"/>
      <w:marRight w:val="0"/>
      <w:marTop w:val="0"/>
      <w:marBottom w:val="0"/>
      <w:divBdr>
        <w:top w:val="none" w:sz="0" w:space="0" w:color="auto"/>
        <w:left w:val="none" w:sz="0" w:space="0" w:color="auto"/>
        <w:bottom w:val="none" w:sz="0" w:space="0" w:color="auto"/>
        <w:right w:val="none" w:sz="0" w:space="0" w:color="auto"/>
      </w:divBdr>
    </w:div>
    <w:div w:id="782307535">
      <w:bodyDiv w:val="1"/>
      <w:marLeft w:val="0"/>
      <w:marRight w:val="0"/>
      <w:marTop w:val="0"/>
      <w:marBottom w:val="0"/>
      <w:divBdr>
        <w:top w:val="none" w:sz="0" w:space="0" w:color="auto"/>
        <w:left w:val="none" w:sz="0" w:space="0" w:color="auto"/>
        <w:bottom w:val="none" w:sz="0" w:space="0" w:color="auto"/>
        <w:right w:val="none" w:sz="0" w:space="0" w:color="auto"/>
      </w:divBdr>
    </w:div>
    <w:div w:id="822043873">
      <w:bodyDiv w:val="1"/>
      <w:marLeft w:val="0"/>
      <w:marRight w:val="0"/>
      <w:marTop w:val="0"/>
      <w:marBottom w:val="0"/>
      <w:divBdr>
        <w:top w:val="none" w:sz="0" w:space="0" w:color="auto"/>
        <w:left w:val="none" w:sz="0" w:space="0" w:color="auto"/>
        <w:bottom w:val="none" w:sz="0" w:space="0" w:color="auto"/>
        <w:right w:val="none" w:sz="0" w:space="0" w:color="auto"/>
      </w:divBdr>
    </w:div>
    <w:div w:id="833689084">
      <w:bodyDiv w:val="1"/>
      <w:marLeft w:val="0"/>
      <w:marRight w:val="0"/>
      <w:marTop w:val="0"/>
      <w:marBottom w:val="0"/>
      <w:divBdr>
        <w:top w:val="none" w:sz="0" w:space="0" w:color="auto"/>
        <w:left w:val="none" w:sz="0" w:space="0" w:color="auto"/>
        <w:bottom w:val="none" w:sz="0" w:space="0" w:color="auto"/>
        <w:right w:val="none" w:sz="0" w:space="0" w:color="auto"/>
      </w:divBdr>
    </w:div>
    <w:div w:id="839854806">
      <w:bodyDiv w:val="1"/>
      <w:marLeft w:val="0"/>
      <w:marRight w:val="0"/>
      <w:marTop w:val="0"/>
      <w:marBottom w:val="0"/>
      <w:divBdr>
        <w:top w:val="none" w:sz="0" w:space="0" w:color="auto"/>
        <w:left w:val="none" w:sz="0" w:space="0" w:color="auto"/>
        <w:bottom w:val="none" w:sz="0" w:space="0" w:color="auto"/>
        <w:right w:val="none" w:sz="0" w:space="0" w:color="auto"/>
      </w:divBdr>
    </w:div>
    <w:div w:id="841160967">
      <w:bodyDiv w:val="1"/>
      <w:marLeft w:val="0"/>
      <w:marRight w:val="0"/>
      <w:marTop w:val="0"/>
      <w:marBottom w:val="0"/>
      <w:divBdr>
        <w:top w:val="none" w:sz="0" w:space="0" w:color="auto"/>
        <w:left w:val="none" w:sz="0" w:space="0" w:color="auto"/>
        <w:bottom w:val="none" w:sz="0" w:space="0" w:color="auto"/>
        <w:right w:val="none" w:sz="0" w:space="0" w:color="auto"/>
      </w:divBdr>
    </w:div>
    <w:div w:id="845554830">
      <w:bodyDiv w:val="1"/>
      <w:marLeft w:val="0"/>
      <w:marRight w:val="0"/>
      <w:marTop w:val="0"/>
      <w:marBottom w:val="0"/>
      <w:divBdr>
        <w:top w:val="none" w:sz="0" w:space="0" w:color="auto"/>
        <w:left w:val="none" w:sz="0" w:space="0" w:color="auto"/>
        <w:bottom w:val="none" w:sz="0" w:space="0" w:color="auto"/>
        <w:right w:val="none" w:sz="0" w:space="0" w:color="auto"/>
      </w:divBdr>
    </w:div>
    <w:div w:id="857810339">
      <w:bodyDiv w:val="1"/>
      <w:marLeft w:val="0"/>
      <w:marRight w:val="0"/>
      <w:marTop w:val="0"/>
      <w:marBottom w:val="0"/>
      <w:divBdr>
        <w:top w:val="none" w:sz="0" w:space="0" w:color="auto"/>
        <w:left w:val="none" w:sz="0" w:space="0" w:color="auto"/>
        <w:bottom w:val="none" w:sz="0" w:space="0" w:color="auto"/>
        <w:right w:val="none" w:sz="0" w:space="0" w:color="auto"/>
      </w:divBdr>
    </w:div>
    <w:div w:id="858545402">
      <w:bodyDiv w:val="1"/>
      <w:marLeft w:val="0"/>
      <w:marRight w:val="0"/>
      <w:marTop w:val="0"/>
      <w:marBottom w:val="0"/>
      <w:divBdr>
        <w:top w:val="none" w:sz="0" w:space="0" w:color="auto"/>
        <w:left w:val="none" w:sz="0" w:space="0" w:color="auto"/>
        <w:bottom w:val="none" w:sz="0" w:space="0" w:color="auto"/>
        <w:right w:val="none" w:sz="0" w:space="0" w:color="auto"/>
      </w:divBdr>
    </w:div>
    <w:div w:id="916089668">
      <w:bodyDiv w:val="1"/>
      <w:marLeft w:val="0"/>
      <w:marRight w:val="0"/>
      <w:marTop w:val="0"/>
      <w:marBottom w:val="0"/>
      <w:divBdr>
        <w:top w:val="none" w:sz="0" w:space="0" w:color="auto"/>
        <w:left w:val="none" w:sz="0" w:space="0" w:color="auto"/>
        <w:bottom w:val="none" w:sz="0" w:space="0" w:color="auto"/>
        <w:right w:val="none" w:sz="0" w:space="0" w:color="auto"/>
      </w:divBdr>
    </w:div>
    <w:div w:id="922031584">
      <w:bodyDiv w:val="1"/>
      <w:marLeft w:val="0"/>
      <w:marRight w:val="0"/>
      <w:marTop w:val="0"/>
      <w:marBottom w:val="0"/>
      <w:divBdr>
        <w:top w:val="none" w:sz="0" w:space="0" w:color="auto"/>
        <w:left w:val="none" w:sz="0" w:space="0" w:color="auto"/>
        <w:bottom w:val="none" w:sz="0" w:space="0" w:color="auto"/>
        <w:right w:val="none" w:sz="0" w:space="0" w:color="auto"/>
      </w:divBdr>
    </w:div>
    <w:div w:id="934242618">
      <w:bodyDiv w:val="1"/>
      <w:marLeft w:val="0"/>
      <w:marRight w:val="0"/>
      <w:marTop w:val="0"/>
      <w:marBottom w:val="0"/>
      <w:divBdr>
        <w:top w:val="none" w:sz="0" w:space="0" w:color="auto"/>
        <w:left w:val="none" w:sz="0" w:space="0" w:color="auto"/>
        <w:bottom w:val="none" w:sz="0" w:space="0" w:color="auto"/>
        <w:right w:val="none" w:sz="0" w:space="0" w:color="auto"/>
      </w:divBdr>
    </w:div>
    <w:div w:id="938610662">
      <w:bodyDiv w:val="1"/>
      <w:marLeft w:val="0"/>
      <w:marRight w:val="0"/>
      <w:marTop w:val="0"/>
      <w:marBottom w:val="0"/>
      <w:divBdr>
        <w:top w:val="none" w:sz="0" w:space="0" w:color="auto"/>
        <w:left w:val="none" w:sz="0" w:space="0" w:color="auto"/>
        <w:bottom w:val="none" w:sz="0" w:space="0" w:color="auto"/>
        <w:right w:val="none" w:sz="0" w:space="0" w:color="auto"/>
      </w:divBdr>
    </w:div>
    <w:div w:id="940917170">
      <w:bodyDiv w:val="1"/>
      <w:marLeft w:val="0"/>
      <w:marRight w:val="0"/>
      <w:marTop w:val="0"/>
      <w:marBottom w:val="0"/>
      <w:divBdr>
        <w:top w:val="none" w:sz="0" w:space="0" w:color="auto"/>
        <w:left w:val="none" w:sz="0" w:space="0" w:color="auto"/>
        <w:bottom w:val="none" w:sz="0" w:space="0" w:color="auto"/>
        <w:right w:val="none" w:sz="0" w:space="0" w:color="auto"/>
      </w:divBdr>
    </w:div>
    <w:div w:id="941304200">
      <w:bodyDiv w:val="1"/>
      <w:marLeft w:val="0"/>
      <w:marRight w:val="0"/>
      <w:marTop w:val="0"/>
      <w:marBottom w:val="0"/>
      <w:divBdr>
        <w:top w:val="none" w:sz="0" w:space="0" w:color="auto"/>
        <w:left w:val="none" w:sz="0" w:space="0" w:color="auto"/>
        <w:bottom w:val="none" w:sz="0" w:space="0" w:color="auto"/>
        <w:right w:val="none" w:sz="0" w:space="0" w:color="auto"/>
      </w:divBdr>
    </w:div>
    <w:div w:id="941456866">
      <w:bodyDiv w:val="1"/>
      <w:marLeft w:val="0"/>
      <w:marRight w:val="0"/>
      <w:marTop w:val="0"/>
      <w:marBottom w:val="0"/>
      <w:divBdr>
        <w:top w:val="none" w:sz="0" w:space="0" w:color="auto"/>
        <w:left w:val="none" w:sz="0" w:space="0" w:color="auto"/>
        <w:bottom w:val="none" w:sz="0" w:space="0" w:color="auto"/>
        <w:right w:val="none" w:sz="0" w:space="0" w:color="auto"/>
      </w:divBdr>
    </w:div>
    <w:div w:id="944654576">
      <w:bodyDiv w:val="1"/>
      <w:marLeft w:val="0"/>
      <w:marRight w:val="0"/>
      <w:marTop w:val="0"/>
      <w:marBottom w:val="0"/>
      <w:divBdr>
        <w:top w:val="none" w:sz="0" w:space="0" w:color="auto"/>
        <w:left w:val="none" w:sz="0" w:space="0" w:color="auto"/>
        <w:bottom w:val="none" w:sz="0" w:space="0" w:color="auto"/>
        <w:right w:val="none" w:sz="0" w:space="0" w:color="auto"/>
      </w:divBdr>
    </w:div>
    <w:div w:id="946036968">
      <w:bodyDiv w:val="1"/>
      <w:marLeft w:val="0"/>
      <w:marRight w:val="0"/>
      <w:marTop w:val="0"/>
      <w:marBottom w:val="0"/>
      <w:divBdr>
        <w:top w:val="none" w:sz="0" w:space="0" w:color="auto"/>
        <w:left w:val="none" w:sz="0" w:space="0" w:color="auto"/>
        <w:bottom w:val="none" w:sz="0" w:space="0" w:color="auto"/>
        <w:right w:val="none" w:sz="0" w:space="0" w:color="auto"/>
      </w:divBdr>
    </w:div>
    <w:div w:id="946306293">
      <w:bodyDiv w:val="1"/>
      <w:marLeft w:val="0"/>
      <w:marRight w:val="0"/>
      <w:marTop w:val="0"/>
      <w:marBottom w:val="0"/>
      <w:divBdr>
        <w:top w:val="none" w:sz="0" w:space="0" w:color="auto"/>
        <w:left w:val="none" w:sz="0" w:space="0" w:color="auto"/>
        <w:bottom w:val="none" w:sz="0" w:space="0" w:color="auto"/>
        <w:right w:val="none" w:sz="0" w:space="0" w:color="auto"/>
      </w:divBdr>
    </w:div>
    <w:div w:id="947351385">
      <w:bodyDiv w:val="1"/>
      <w:marLeft w:val="0"/>
      <w:marRight w:val="0"/>
      <w:marTop w:val="0"/>
      <w:marBottom w:val="0"/>
      <w:divBdr>
        <w:top w:val="none" w:sz="0" w:space="0" w:color="auto"/>
        <w:left w:val="none" w:sz="0" w:space="0" w:color="auto"/>
        <w:bottom w:val="none" w:sz="0" w:space="0" w:color="auto"/>
        <w:right w:val="none" w:sz="0" w:space="0" w:color="auto"/>
      </w:divBdr>
    </w:div>
    <w:div w:id="958026978">
      <w:bodyDiv w:val="1"/>
      <w:marLeft w:val="0"/>
      <w:marRight w:val="0"/>
      <w:marTop w:val="0"/>
      <w:marBottom w:val="0"/>
      <w:divBdr>
        <w:top w:val="none" w:sz="0" w:space="0" w:color="auto"/>
        <w:left w:val="none" w:sz="0" w:space="0" w:color="auto"/>
        <w:bottom w:val="none" w:sz="0" w:space="0" w:color="auto"/>
        <w:right w:val="none" w:sz="0" w:space="0" w:color="auto"/>
      </w:divBdr>
    </w:div>
    <w:div w:id="965770001">
      <w:bodyDiv w:val="1"/>
      <w:marLeft w:val="0"/>
      <w:marRight w:val="0"/>
      <w:marTop w:val="0"/>
      <w:marBottom w:val="0"/>
      <w:divBdr>
        <w:top w:val="none" w:sz="0" w:space="0" w:color="auto"/>
        <w:left w:val="none" w:sz="0" w:space="0" w:color="auto"/>
        <w:bottom w:val="none" w:sz="0" w:space="0" w:color="auto"/>
        <w:right w:val="none" w:sz="0" w:space="0" w:color="auto"/>
      </w:divBdr>
    </w:div>
    <w:div w:id="983317721">
      <w:bodyDiv w:val="1"/>
      <w:marLeft w:val="0"/>
      <w:marRight w:val="0"/>
      <w:marTop w:val="0"/>
      <w:marBottom w:val="0"/>
      <w:divBdr>
        <w:top w:val="none" w:sz="0" w:space="0" w:color="auto"/>
        <w:left w:val="none" w:sz="0" w:space="0" w:color="auto"/>
        <w:bottom w:val="none" w:sz="0" w:space="0" w:color="auto"/>
        <w:right w:val="none" w:sz="0" w:space="0" w:color="auto"/>
      </w:divBdr>
    </w:div>
    <w:div w:id="984624983">
      <w:bodyDiv w:val="1"/>
      <w:marLeft w:val="0"/>
      <w:marRight w:val="0"/>
      <w:marTop w:val="0"/>
      <w:marBottom w:val="0"/>
      <w:divBdr>
        <w:top w:val="none" w:sz="0" w:space="0" w:color="auto"/>
        <w:left w:val="none" w:sz="0" w:space="0" w:color="auto"/>
        <w:bottom w:val="none" w:sz="0" w:space="0" w:color="auto"/>
        <w:right w:val="none" w:sz="0" w:space="0" w:color="auto"/>
      </w:divBdr>
    </w:div>
    <w:div w:id="986009404">
      <w:bodyDiv w:val="1"/>
      <w:marLeft w:val="0"/>
      <w:marRight w:val="0"/>
      <w:marTop w:val="0"/>
      <w:marBottom w:val="0"/>
      <w:divBdr>
        <w:top w:val="none" w:sz="0" w:space="0" w:color="auto"/>
        <w:left w:val="none" w:sz="0" w:space="0" w:color="auto"/>
        <w:bottom w:val="none" w:sz="0" w:space="0" w:color="auto"/>
        <w:right w:val="none" w:sz="0" w:space="0" w:color="auto"/>
      </w:divBdr>
    </w:div>
    <w:div w:id="991788676">
      <w:bodyDiv w:val="1"/>
      <w:marLeft w:val="0"/>
      <w:marRight w:val="0"/>
      <w:marTop w:val="0"/>
      <w:marBottom w:val="0"/>
      <w:divBdr>
        <w:top w:val="none" w:sz="0" w:space="0" w:color="auto"/>
        <w:left w:val="none" w:sz="0" w:space="0" w:color="auto"/>
        <w:bottom w:val="none" w:sz="0" w:space="0" w:color="auto"/>
        <w:right w:val="none" w:sz="0" w:space="0" w:color="auto"/>
      </w:divBdr>
    </w:div>
    <w:div w:id="1009254847">
      <w:bodyDiv w:val="1"/>
      <w:marLeft w:val="0"/>
      <w:marRight w:val="0"/>
      <w:marTop w:val="0"/>
      <w:marBottom w:val="0"/>
      <w:divBdr>
        <w:top w:val="none" w:sz="0" w:space="0" w:color="auto"/>
        <w:left w:val="none" w:sz="0" w:space="0" w:color="auto"/>
        <w:bottom w:val="none" w:sz="0" w:space="0" w:color="auto"/>
        <w:right w:val="none" w:sz="0" w:space="0" w:color="auto"/>
      </w:divBdr>
    </w:div>
    <w:div w:id="1017273772">
      <w:bodyDiv w:val="1"/>
      <w:marLeft w:val="0"/>
      <w:marRight w:val="0"/>
      <w:marTop w:val="0"/>
      <w:marBottom w:val="0"/>
      <w:divBdr>
        <w:top w:val="none" w:sz="0" w:space="0" w:color="auto"/>
        <w:left w:val="none" w:sz="0" w:space="0" w:color="auto"/>
        <w:bottom w:val="none" w:sz="0" w:space="0" w:color="auto"/>
        <w:right w:val="none" w:sz="0" w:space="0" w:color="auto"/>
      </w:divBdr>
    </w:div>
    <w:div w:id="1019310457">
      <w:bodyDiv w:val="1"/>
      <w:marLeft w:val="0"/>
      <w:marRight w:val="0"/>
      <w:marTop w:val="0"/>
      <w:marBottom w:val="0"/>
      <w:divBdr>
        <w:top w:val="none" w:sz="0" w:space="0" w:color="auto"/>
        <w:left w:val="none" w:sz="0" w:space="0" w:color="auto"/>
        <w:bottom w:val="none" w:sz="0" w:space="0" w:color="auto"/>
        <w:right w:val="none" w:sz="0" w:space="0" w:color="auto"/>
      </w:divBdr>
    </w:div>
    <w:div w:id="1025326313">
      <w:bodyDiv w:val="1"/>
      <w:marLeft w:val="0"/>
      <w:marRight w:val="0"/>
      <w:marTop w:val="0"/>
      <w:marBottom w:val="0"/>
      <w:divBdr>
        <w:top w:val="none" w:sz="0" w:space="0" w:color="auto"/>
        <w:left w:val="none" w:sz="0" w:space="0" w:color="auto"/>
        <w:bottom w:val="none" w:sz="0" w:space="0" w:color="auto"/>
        <w:right w:val="none" w:sz="0" w:space="0" w:color="auto"/>
      </w:divBdr>
    </w:div>
    <w:div w:id="1025597287">
      <w:bodyDiv w:val="1"/>
      <w:marLeft w:val="0"/>
      <w:marRight w:val="0"/>
      <w:marTop w:val="0"/>
      <w:marBottom w:val="0"/>
      <w:divBdr>
        <w:top w:val="none" w:sz="0" w:space="0" w:color="auto"/>
        <w:left w:val="none" w:sz="0" w:space="0" w:color="auto"/>
        <w:bottom w:val="none" w:sz="0" w:space="0" w:color="auto"/>
        <w:right w:val="none" w:sz="0" w:space="0" w:color="auto"/>
      </w:divBdr>
    </w:div>
    <w:div w:id="1030493370">
      <w:bodyDiv w:val="1"/>
      <w:marLeft w:val="0"/>
      <w:marRight w:val="0"/>
      <w:marTop w:val="0"/>
      <w:marBottom w:val="0"/>
      <w:divBdr>
        <w:top w:val="none" w:sz="0" w:space="0" w:color="auto"/>
        <w:left w:val="none" w:sz="0" w:space="0" w:color="auto"/>
        <w:bottom w:val="none" w:sz="0" w:space="0" w:color="auto"/>
        <w:right w:val="none" w:sz="0" w:space="0" w:color="auto"/>
      </w:divBdr>
    </w:div>
    <w:div w:id="1043796687">
      <w:bodyDiv w:val="1"/>
      <w:marLeft w:val="0"/>
      <w:marRight w:val="0"/>
      <w:marTop w:val="0"/>
      <w:marBottom w:val="0"/>
      <w:divBdr>
        <w:top w:val="none" w:sz="0" w:space="0" w:color="auto"/>
        <w:left w:val="none" w:sz="0" w:space="0" w:color="auto"/>
        <w:bottom w:val="none" w:sz="0" w:space="0" w:color="auto"/>
        <w:right w:val="none" w:sz="0" w:space="0" w:color="auto"/>
      </w:divBdr>
    </w:div>
    <w:div w:id="1078481890">
      <w:bodyDiv w:val="1"/>
      <w:marLeft w:val="0"/>
      <w:marRight w:val="0"/>
      <w:marTop w:val="0"/>
      <w:marBottom w:val="0"/>
      <w:divBdr>
        <w:top w:val="none" w:sz="0" w:space="0" w:color="auto"/>
        <w:left w:val="none" w:sz="0" w:space="0" w:color="auto"/>
        <w:bottom w:val="none" w:sz="0" w:space="0" w:color="auto"/>
        <w:right w:val="none" w:sz="0" w:space="0" w:color="auto"/>
      </w:divBdr>
    </w:div>
    <w:div w:id="1094714676">
      <w:bodyDiv w:val="1"/>
      <w:marLeft w:val="0"/>
      <w:marRight w:val="0"/>
      <w:marTop w:val="0"/>
      <w:marBottom w:val="0"/>
      <w:divBdr>
        <w:top w:val="none" w:sz="0" w:space="0" w:color="auto"/>
        <w:left w:val="none" w:sz="0" w:space="0" w:color="auto"/>
        <w:bottom w:val="none" w:sz="0" w:space="0" w:color="auto"/>
        <w:right w:val="none" w:sz="0" w:space="0" w:color="auto"/>
      </w:divBdr>
    </w:div>
    <w:div w:id="1132750618">
      <w:bodyDiv w:val="1"/>
      <w:marLeft w:val="0"/>
      <w:marRight w:val="0"/>
      <w:marTop w:val="0"/>
      <w:marBottom w:val="0"/>
      <w:divBdr>
        <w:top w:val="none" w:sz="0" w:space="0" w:color="auto"/>
        <w:left w:val="none" w:sz="0" w:space="0" w:color="auto"/>
        <w:bottom w:val="none" w:sz="0" w:space="0" w:color="auto"/>
        <w:right w:val="none" w:sz="0" w:space="0" w:color="auto"/>
      </w:divBdr>
    </w:div>
    <w:div w:id="1138037592">
      <w:bodyDiv w:val="1"/>
      <w:marLeft w:val="0"/>
      <w:marRight w:val="0"/>
      <w:marTop w:val="0"/>
      <w:marBottom w:val="0"/>
      <w:divBdr>
        <w:top w:val="none" w:sz="0" w:space="0" w:color="auto"/>
        <w:left w:val="none" w:sz="0" w:space="0" w:color="auto"/>
        <w:bottom w:val="none" w:sz="0" w:space="0" w:color="auto"/>
        <w:right w:val="none" w:sz="0" w:space="0" w:color="auto"/>
      </w:divBdr>
    </w:div>
    <w:div w:id="1145126746">
      <w:bodyDiv w:val="1"/>
      <w:marLeft w:val="0"/>
      <w:marRight w:val="0"/>
      <w:marTop w:val="0"/>
      <w:marBottom w:val="0"/>
      <w:divBdr>
        <w:top w:val="none" w:sz="0" w:space="0" w:color="auto"/>
        <w:left w:val="none" w:sz="0" w:space="0" w:color="auto"/>
        <w:bottom w:val="none" w:sz="0" w:space="0" w:color="auto"/>
        <w:right w:val="none" w:sz="0" w:space="0" w:color="auto"/>
      </w:divBdr>
    </w:div>
    <w:div w:id="1149519686">
      <w:bodyDiv w:val="1"/>
      <w:marLeft w:val="0"/>
      <w:marRight w:val="0"/>
      <w:marTop w:val="0"/>
      <w:marBottom w:val="0"/>
      <w:divBdr>
        <w:top w:val="none" w:sz="0" w:space="0" w:color="auto"/>
        <w:left w:val="none" w:sz="0" w:space="0" w:color="auto"/>
        <w:bottom w:val="none" w:sz="0" w:space="0" w:color="auto"/>
        <w:right w:val="none" w:sz="0" w:space="0" w:color="auto"/>
      </w:divBdr>
    </w:div>
    <w:div w:id="1159493125">
      <w:bodyDiv w:val="1"/>
      <w:marLeft w:val="0"/>
      <w:marRight w:val="0"/>
      <w:marTop w:val="0"/>
      <w:marBottom w:val="0"/>
      <w:divBdr>
        <w:top w:val="none" w:sz="0" w:space="0" w:color="auto"/>
        <w:left w:val="none" w:sz="0" w:space="0" w:color="auto"/>
        <w:bottom w:val="none" w:sz="0" w:space="0" w:color="auto"/>
        <w:right w:val="none" w:sz="0" w:space="0" w:color="auto"/>
      </w:divBdr>
    </w:div>
    <w:div w:id="1169056419">
      <w:bodyDiv w:val="1"/>
      <w:marLeft w:val="0"/>
      <w:marRight w:val="0"/>
      <w:marTop w:val="0"/>
      <w:marBottom w:val="0"/>
      <w:divBdr>
        <w:top w:val="none" w:sz="0" w:space="0" w:color="auto"/>
        <w:left w:val="none" w:sz="0" w:space="0" w:color="auto"/>
        <w:bottom w:val="none" w:sz="0" w:space="0" w:color="auto"/>
        <w:right w:val="none" w:sz="0" w:space="0" w:color="auto"/>
      </w:divBdr>
    </w:div>
    <w:div w:id="1174497597">
      <w:bodyDiv w:val="1"/>
      <w:marLeft w:val="0"/>
      <w:marRight w:val="0"/>
      <w:marTop w:val="0"/>
      <w:marBottom w:val="0"/>
      <w:divBdr>
        <w:top w:val="none" w:sz="0" w:space="0" w:color="auto"/>
        <w:left w:val="none" w:sz="0" w:space="0" w:color="auto"/>
        <w:bottom w:val="none" w:sz="0" w:space="0" w:color="auto"/>
        <w:right w:val="none" w:sz="0" w:space="0" w:color="auto"/>
      </w:divBdr>
    </w:div>
    <w:div w:id="1178230144">
      <w:bodyDiv w:val="1"/>
      <w:marLeft w:val="0"/>
      <w:marRight w:val="0"/>
      <w:marTop w:val="0"/>
      <w:marBottom w:val="0"/>
      <w:divBdr>
        <w:top w:val="none" w:sz="0" w:space="0" w:color="auto"/>
        <w:left w:val="none" w:sz="0" w:space="0" w:color="auto"/>
        <w:bottom w:val="none" w:sz="0" w:space="0" w:color="auto"/>
        <w:right w:val="none" w:sz="0" w:space="0" w:color="auto"/>
      </w:divBdr>
    </w:div>
    <w:div w:id="1180198885">
      <w:bodyDiv w:val="1"/>
      <w:marLeft w:val="0"/>
      <w:marRight w:val="0"/>
      <w:marTop w:val="0"/>
      <w:marBottom w:val="0"/>
      <w:divBdr>
        <w:top w:val="none" w:sz="0" w:space="0" w:color="auto"/>
        <w:left w:val="none" w:sz="0" w:space="0" w:color="auto"/>
        <w:bottom w:val="none" w:sz="0" w:space="0" w:color="auto"/>
        <w:right w:val="none" w:sz="0" w:space="0" w:color="auto"/>
      </w:divBdr>
    </w:div>
    <w:div w:id="1201093985">
      <w:bodyDiv w:val="1"/>
      <w:marLeft w:val="0"/>
      <w:marRight w:val="0"/>
      <w:marTop w:val="0"/>
      <w:marBottom w:val="0"/>
      <w:divBdr>
        <w:top w:val="none" w:sz="0" w:space="0" w:color="auto"/>
        <w:left w:val="none" w:sz="0" w:space="0" w:color="auto"/>
        <w:bottom w:val="none" w:sz="0" w:space="0" w:color="auto"/>
        <w:right w:val="none" w:sz="0" w:space="0" w:color="auto"/>
      </w:divBdr>
    </w:div>
    <w:div w:id="1201700470">
      <w:bodyDiv w:val="1"/>
      <w:marLeft w:val="0"/>
      <w:marRight w:val="0"/>
      <w:marTop w:val="0"/>
      <w:marBottom w:val="0"/>
      <w:divBdr>
        <w:top w:val="none" w:sz="0" w:space="0" w:color="auto"/>
        <w:left w:val="none" w:sz="0" w:space="0" w:color="auto"/>
        <w:bottom w:val="none" w:sz="0" w:space="0" w:color="auto"/>
        <w:right w:val="none" w:sz="0" w:space="0" w:color="auto"/>
      </w:divBdr>
    </w:div>
    <w:div w:id="1219242333">
      <w:bodyDiv w:val="1"/>
      <w:marLeft w:val="0"/>
      <w:marRight w:val="0"/>
      <w:marTop w:val="0"/>
      <w:marBottom w:val="0"/>
      <w:divBdr>
        <w:top w:val="none" w:sz="0" w:space="0" w:color="auto"/>
        <w:left w:val="none" w:sz="0" w:space="0" w:color="auto"/>
        <w:bottom w:val="none" w:sz="0" w:space="0" w:color="auto"/>
        <w:right w:val="none" w:sz="0" w:space="0" w:color="auto"/>
      </w:divBdr>
    </w:div>
    <w:div w:id="1225458215">
      <w:bodyDiv w:val="1"/>
      <w:marLeft w:val="0"/>
      <w:marRight w:val="0"/>
      <w:marTop w:val="0"/>
      <w:marBottom w:val="0"/>
      <w:divBdr>
        <w:top w:val="none" w:sz="0" w:space="0" w:color="auto"/>
        <w:left w:val="none" w:sz="0" w:space="0" w:color="auto"/>
        <w:bottom w:val="none" w:sz="0" w:space="0" w:color="auto"/>
        <w:right w:val="none" w:sz="0" w:space="0" w:color="auto"/>
      </w:divBdr>
    </w:div>
    <w:div w:id="1227031976">
      <w:bodyDiv w:val="1"/>
      <w:marLeft w:val="0"/>
      <w:marRight w:val="0"/>
      <w:marTop w:val="0"/>
      <w:marBottom w:val="0"/>
      <w:divBdr>
        <w:top w:val="none" w:sz="0" w:space="0" w:color="auto"/>
        <w:left w:val="none" w:sz="0" w:space="0" w:color="auto"/>
        <w:bottom w:val="none" w:sz="0" w:space="0" w:color="auto"/>
        <w:right w:val="none" w:sz="0" w:space="0" w:color="auto"/>
      </w:divBdr>
    </w:div>
    <w:div w:id="1227378940">
      <w:bodyDiv w:val="1"/>
      <w:marLeft w:val="0"/>
      <w:marRight w:val="0"/>
      <w:marTop w:val="0"/>
      <w:marBottom w:val="0"/>
      <w:divBdr>
        <w:top w:val="none" w:sz="0" w:space="0" w:color="auto"/>
        <w:left w:val="none" w:sz="0" w:space="0" w:color="auto"/>
        <w:bottom w:val="none" w:sz="0" w:space="0" w:color="auto"/>
        <w:right w:val="none" w:sz="0" w:space="0" w:color="auto"/>
      </w:divBdr>
    </w:div>
    <w:div w:id="1242594349">
      <w:bodyDiv w:val="1"/>
      <w:marLeft w:val="0"/>
      <w:marRight w:val="0"/>
      <w:marTop w:val="0"/>
      <w:marBottom w:val="0"/>
      <w:divBdr>
        <w:top w:val="none" w:sz="0" w:space="0" w:color="auto"/>
        <w:left w:val="none" w:sz="0" w:space="0" w:color="auto"/>
        <w:bottom w:val="none" w:sz="0" w:space="0" w:color="auto"/>
        <w:right w:val="none" w:sz="0" w:space="0" w:color="auto"/>
      </w:divBdr>
    </w:div>
    <w:div w:id="1251500340">
      <w:bodyDiv w:val="1"/>
      <w:marLeft w:val="0"/>
      <w:marRight w:val="0"/>
      <w:marTop w:val="0"/>
      <w:marBottom w:val="0"/>
      <w:divBdr>
        <w:top w:val="none" w:sz="0" w:space="0" w:color="auto"/>
        <w:left w:val="none" w:sz="0" w:space="0" w:color="auto"/>
        <w:bottom w:val="none" w:sz="0" w:space="0" w:color="auto"/>
        <w:right w:val="none" w:sz="0" w:space="0" w:color="auto"/>
      </w:divBdr>
    </w:div>
    <w:div w:id="1253927443">
      <w:bodyDiv w:val="1"/>
      <w:marLeft w:val="0"/>
      <w:marRight w:val="0"/>
      <w:marTop w:val="0"/>
      <w:marBottom w:val="0"/>
      <w:divBdr>
        <w:top w:val="none" w:sz="0" w:space="0" w:color="auto"/>
        <w:left w:val="none" w:sz="0" w:space="0" w:color="auto"/>
        <w:bottom w:val="none" w:sz="0" w:space="0" w:color="auto"/>
        <w:right w:val="none" w:sz="0" w:space="0" w:color="auto"/>
      </w:divBdr>
    </w:div>
    <w:div w:id="1259800134">
      <w:bodyDiv w:val="1"/>
      <w:marLeft w:val="0"/>
      <w:marRight w:val="0"/>
      <w:marTop w:val="0"/>
      <w:marBottom w:val="0"/>
      <w:divBdr>
        <w:top w:val="none" w:sz="0" w:space="0" w:color="auto"/>
        <w:left w:val="none" w:sz="0" w:space="0" w:color="auto"/>
        <w:bottom w:val="none" w:sz="0" w:space="0" w:color="auto"/>
        <w:right w:val="none" w:sz="0" w:space="0" w:color="auto"/>
      </w:divBdr>
    </w:div>
    <w:div w:id="1267233418">
      <w:bodyDiv w:val="1"/>
      <w:marLeft w:val="0"/>
      <w:marRight w:val="0"/>
      <w:marTop w:val="0"/>
      <w:marBottom w:val="0"/>
      <w:divBdr>
        <w:top w:val="none" w:sz="0" w:space="0" w:color="auto"/>
        <w:left w:val="none" w:sz="0" w:space="0" w:color="auto"/>
        <w:bottom w:val="none" w:sz="0" w:space="0" w:color="auto"/>
        <w:right w:val="none" w:sz="0" w:space="0" w:color="auto"/>
      </w:divBdr>
    </w:div>
    <w:div w:id="1286351223">
      <w:bodyDiv w:val="1"/>
      <w:marLeft w:val="0"/>
      <w:marRight w:val="0"/>
      <w:marTop w:val="0"/>
      <w:marBottom w:val="0"/>
      <w:divBdr>
        <w:top w:val="none" w:sz="0" w:space="0" w:color="auto"/>
        <w:left w:val="none" w:sz="0" w:space="0" w:color="auto"/>
        <w:bottom w:val="none" w:sz="0" w:space="0" w:color="auto"/>
        <w:right w:val="none" w:sz="0" w:space="0" w:color="auto"/>
      </w:divBdr>
    </w:div>
    <w:div w:id="1295865632">
      <w:bodyDiv w:val="1"/>
      <w:marLeft w:val="0"/>
      <w:marRight w:val="0"/>
      <w:marTop w:val="0"/>
      <w:marBottom w:val="0"/>
      <w:divBdr>
        <w:top w:val="none" w:sz="0" w:space="0" w:color="auto"/>
        <w:left w:val="none" w:sz="0" w:space="0" w:color="auto"/>
        <w:bottom w:val="none" w:sz="0" w:space="0" w:color="auto"/>
        <w:right w:val="none" w:sz="0" w:space="0" w:color="auto"/>
      </w:divBdr>
    </w:div>
    <w:div w:id="1325891224">
      <w:bodyDiv w:val="1"/>
      <w:marLeft w:val="0"/>
      <w:marRight w:val="0"/>
      <w:marTop w:val="0"/>
      <w:marBottom w:val="0"/>
      <w:divBdr>
        <w:top w:val="none" w:sz="0" w:space="0" w:color="auto"/>
        <w:left w:val="none" w:sz="0" w:space="0" w:color="auto"/>
        <w:bottom w:val="none" w:sz="0" w:space="0" w:color="auto"/>
        <w:right w:val="none" w:sz="0" w:space="0" w:color="auto"/>
      </w:divBdr>
    </w:div>
    <w:div w:id="1331130324">
      <w:bodyDiv w:val="1"/>
      <w:marLeft w:val="0"/>
      <w:marRight w:val="0"/>
      <w:marTop w:val="0"/>
      <w:marBottom w:val="0"/>
      <w:divBdr>
        <w:top w:val="none" w:sz="0" w:space="0" w:color="auto"/>
        <w:left w:val="none" w:sz="0" w:space="0" w:color="auto"/>
        <w:bottom w:val="none" w:sz="0" w:space="0" w:color="auto"/>
        <w:right w:val="none" w:sz="0" w:space="0" w:color="auto"/>
      </w:divBdr>
    </w:div>
    <w:div w:id="1343050099">
      <w:bodyDiv w:val="1"/>
      <w:marLeft w:val="0"/>
      <w:marRight w:val="0"/>
      <w:marTop w:val="0"/>
      <w:marBottom w:val="0"/>
      <w:divBdr>
        <w:top w:val="none" w:sz="0" w:space="0" w:color="auto"/>
        <w:left w:val="none" w:sz="0" w:space="0" w:color="auto"/>
        <w:bottom w:val="none" w:sz="0" w:space="0" w:color="auto"/>
        <w:right w:val="none" w:sz="0" w:space="0" w:color="auto"/>
      </w:divBdr>
    </w:div>
    <w:div w:id="1350329517">
      <w:bodyDiv w:val="1"/>
      <w:marLeft w:val="0"/>
      <w:marRight w:val="0"/>
      <w:marTop w:val="0"/>
      <w:marBottom w:val="0"/>
      <w:divBdr>
        <w:top w:val="none" w:sz="0" w:space="0" w:color="auto"/>
        <w:left w:val="none" w:sz="0" w:space="0" w:color="auto"/>
        <w:bottom w:val="none" w:sz="0" w:space="0" w:color="auto"/>
        <w:right w:val="none" w:sz="0" w:space="0" w:color="auto"/>
      </w:divBdr>
    </w:div>
    <w:div w:id="1366368425">
      <w:bodyDiv w:val="1"/>
      <w:marLeft w:val="0"/>
      <w:marRight w:val="0"/>
      <w:marTop w:val="0"/>
      <w:marBottom w:val="0"/>
      <w:divBdr>
        <w:top w:val="none" w:sz="0" w:space="0" w:color="auto"/>
        <w:left w:val="none" w:sz="0" w:space="0" w:color="auto"/>
        <w:bottom w:val="none" w:sz="0" w:space="0" w:color="auto"/>
        <w:right w:val="none" w:sz="0" w:space="0" w:color="auto"/>
      </w:divBdr>
    </w:div>
    <w:div w:id="1366828284">
      <w:bodyDiv w:val="1"/>
      <w:marLeft w:val="0"/>
      <w:marRight w:val="0"/>
      <w:marTop w:val="0"/>
      <w:marBottom w:val="0"/>
      <w:divBdr>
        <w:top w:val="none" w:sz="0" w:space="0" w:color="auto"/>
        <w:left w:val="none" w:sz="0" w:space="0" w:color="auto"/>
        <w:bottom w:val="none" w:sz="0" w:space="0" w:color="auto"/>
        <w:right w:val="none" w:sz="0" w:space="0" w:color="auto"/>
      </w:divBdr>
    </w:div>
    <w:div w:id="1386173480">
      <w:bodyDiv w:val="1"/>
      <w:marLeft w:val="0"/>
      <w:marRight w:val="0"/>
      <w:marTop w:val="0"/>
      <w:marBottom w:val="0"/>
      <w:divBdr>
        <w:top w:val="none" w:sz="0" w:space="0" w:color="auto"/>
        <w:left w:val="none" w:sz="0" w:space="0" w:color="auto"/>
        <w:bottom w:val="none" w:sz="0" w:space="0" w:color="auto"/>
        <w:right w:val="none" w:sz="0" w:space="0" w:color="auto"/>
      </w:divBdr>
    </w:div>
    <w:div w:id="1395666140">
      <w:bodyDiv w:val="1"/>
      <w:marLeft w:val="0"/>
      <w:marRight w:val="0"/>
      <w:marTop w:val="0"/>
      <w:marBottom w:val="0"/>
      <w:divBdr>
        <w:top w:val="none" w:sz="0" w:space="0" w:color="auto"/>
        <w:left w:val="none" w:sz="0" w:space="0" w:color="auto"/>
        <w:bottom w:val="none" w:sz="0" w:space="0" w:color="auto"/>
        <w:right w:val="none" w:sz="0" w:space="0" w:color="auto"/>
      </w:divBdr>
    </w:div>
    <w:div w:id="1398168704">
      <w:bodyDiv w:val="1"/>
      <w:marLeft w:val="0"/>
      <w:marRight w:val="0"/>
      <w:marTop w:val="0"/>
      <w:marBottom w:val="0"/>
      <w:divBdr>
        <w:top w:val="none" w:sz="0" w:space="0" w:color="auto"/>
        <w:left w:val="none" w:sz="0" w:space="0" w:color="auto"/>
        <w:bottom w:val="none" w:sz="0" w:space="0" w:color="auto"/>
        <w:right w:val="none" w:sz="0" w:space="0" w:color="auto"/>
      </w:divBdr>
    </w:div>
    <w:div w:id="1402554944">
      <w:bodyDiv w:val="1"/>
      <w:marLeft w:val="0"/>
      <w:marRight w:val="0"/>
      <w:marTop w:val="0"/>
      <w:marBottom w:val="0"/>
      <w:divBdr>
        <w:top w:val="none" w:sz="0" w:space="0" w:color="auto"/>
        <w:left w:val="none" w:sz="0" w:space="0" w:color="auto"/>
        <w:bottom w:val="none" w:sz="0" w:space="0" w:color="auto"/>
        <w:right w:val="none" w:sz="0" w:space="0" w:color="auto"/>
      </w:divBdr>
    </w:div>
    <w:div w:id="1433819664">
      <w:bodyDiv w:val="1"/>
      <w:marLeft w:val="0"/>
      <w:marRight w:val="0"/>
      <w:marTop w:val="0"/>
      <w:marBottom w:val="0"/>
      <w:divBdr>
        <w:top w:val="none" w:sz="0" w:space="0" w:color="auto"/>
        <w:left w:val="none" w:sz="0" w:space="0" w:color="auto"/>
        <w:bottom w:val="none" w:sz="0" w:space="0" w:color="auto"/>
        <w:right w:val="none" w:sz="0" w:space="0" w:color="auto"/>
      </w:divBdr>
    </w:div>
    <w:div w:id="1450005630">
      <w:bodyDiv w:val="1"/>
      <w:marLeft w:val="0"/>
      <w:marRight w:val="0"/>
      <w:marTop w:val="0"/>
      <w:marBottom w:val="0"/>
      <w:divBdr>
        <w:top w:val="none" w:sz="0" w:space="0" w:color="auto"/>
        <w:left w:val="none" w:sz="0" w:space="0" w:color="auto"/>
        <w:bottom w:val="none" w:sz="0" w:space="0" w:color="auto"/>
        <w:right w:val="none" w:sz="0" w:space="0" w:color="auto"/>
      </w:divBdr>
    </w:div>
    <w:div w:id="1452750655">
      <w:bodyDiv w:val="1"/>
      <w:marLeft w:val="0"/>
      <w:marRight w:val="0"/>
      <w:marTop w:val="0"/>
      <w:marBottom w:val="0"/>
      <w:divBdr>
        <w:top w:val="none" w:sz="0" w:space="0" w:color="auto"/>
        <w:left w:val="none" w:sz="0" w:space="0" w:color="auto"/>
        <w:bottom w:val="none" w:sz="0" w:space="0" w:color="auto"/>
        <w:right w:val="none" w:sz="0" w:space="0" w:color="auto"/>
      </w:divBdr>
    </w:div>
    <w:div w:id="1453741706">
      <w:bodyDiv w:val="1"/>
      <w:marLeft w:val="0"/>
      <w:marRight w:val="0"/>
      <w:marTop w:val="0"/>
      <w:marBottom w:val="0"/>
      <w:divBdr>
        <w:top w:val="none" w:sz="0" w:space="0" w:color="auto"/>
        <w:left w:val="none" w:sz="0" w:space="0" w:color="auto"/>
        <w:bottom w:val="none" w:sz="0" w:space="0" w:color="auto"/>
        <w:right w:val="none" w:sz="0" w:space="0" w:color="auto"/>
      </w:divBdr>
    </w:div>
    <w:div w:id="1460562428">
      <w:bodyDiv w:val="1"/>
      <w:marLeft w:val="0"/>
      <w:marRight w:val="0"/>
      <w:marTop w:val="0"/>
      <w:marBottom w:val="0"/>
      <w:divBdr>
        <w:top w:val="none" w:sz="0" w:space="0" w:color="auto"/>
        <w:left w:val="none" w:sz="0" w:space="0" w:color="auto"/>
        <w:bottom w:val="none" w:sz="0" w:space="0" w:color="auto"/>
        <w:right w:val="none" w:sz="0" w:space="0" w:color="auto"/>
      </w:divBdr>
    </w:div>
    <w:div w:id="1470395096">
      <w:bodyDiv w:val="1"/>
      <w:marLeft w:val="0"/>
      <w:marRight w:val="0"/>
      <w:marTop w:val="0"/>
      <w:marBottom w:val="0"/>
      <w:divBdr>
        <w:top w:val="none" w:sz="0" w:space="0" w:color="auto"/>
        <w:left w:val="none" w:sz="0" w:space="0" w:color="auto"/>
        <w:bottom w:val="none" w:sz="0" w:space="0" w:color="auto"/>
        <w:right w:val="none" w:sz="0" w:space="0" w:color="auto"/>
      </w:divBdr>
    </w:div>
    <w:div w:id="1493329148">
      <w:bodyDiv w:val="1"/>
      <w:marLeft w:val="0"/>
      <w:marRight w:val="0"/>
      <w:marTop w:val="0"/>
      <w:marBottom w:val="0"/>
      <w:divBdr>
        <w:top w:val="none" w:sz="0" w:space="0" w:color="auto"/>
        <w:left w:val="none" w:sz="0" w:space="0" w:color="auto"/>
        <w:bottom w:val="none" w:sz="0" w:space="0" w:color="auto"/>
        <w:right w:val="none" w:sz="0" w:space="0" w:color="auto"/>
      </w:divBdr>
    </w:div>
    <w:div w:id="1493330421">
      <w:bodyDiv w:val="1"/>
      <w:marLeft w:val="0"/>
      <w:marRight w:val="0"/>
      <w:marTop w:val="0"/>
      <w:marBottom w:val="0"/>
      <w:divBdr>
        <w:top w:val="none" w:sz="0" w:space="0" w:color="auto"/>
        <w:left w:val="none" w:sz="0" w:space="0" w:color="auto"/>
        <w:bottom w:val="none" w:sz="0" w:space="0" w:color="auto"/>
        <w:right w:val="none" w:sz="0" w:space="0" w:color="auto"/>
      </w:divBdr>
    </w:div>
    <w:div w:id="1496992215">
      <w:bodyDiv w:val="1"/>
      <w:marLeft w:val="0"/>
      <w:marRight w:val="0"/>
      <w:marTop w:val="0"/>
      <w:marBottom w:val="0"/>
      <w:divBdr>
        <w:top w:val="none" w:sz="0" w:space="0" w:color="auto"/>
        <w:left w:val="none" w:sz="0" w:space="0" w:color="auto"/>
        <w:bottom w:val="none" w:sz="0" w:space="0" w:color="auto"/>
        <w:right w:val="none" w:sz="0" w:space="0" w:color="auto"/>
      </w:divBdr>
    </w:div>
    <w:div w:id="1554581389">
      <w:bodyDiv w:val="1"/>
      <w:marLeft w:val="0"/>
      <w:marRight w:val="0"/>
      <w:marTop w:val="0"/>
      <w:marBottom w:val="0"/>
      <w:divBdr>
        <w:top w:val="none" w:sz="0" w:space="0" w:color="auto"/>
        <w:left w:val="none" w:sz="0" w:space="0" w:color="auto"/>
        <w:bottom w:val="none" w:sz="0" w:space="0" w:color="auto"/>
        <w:right w:val="none" w:sz="0" w:space="0" w:color="auto"/>
      </w:divBdr>
    </w:div>
    <w:div w:id="1555459871">
      <w:bodyDiv w:val="1"/>
      <w:marLeft w:val="0"/>
      <w:marRight w:val="0"/>
      <w:marTop w:val="0"/>
      <w:marBottom w:val="0"/>
      <w:divBdr>
        <w:top w:val="none" w:sz="0" w:space="0" w:color="auto"/>
        <w:left w:val="none" w:sz="0" w:space="0" w:color="auto"/>
        <w:bottom w:val="none" w:sz="0" w:space="0" w:color="auto"/>
        <w:right w:val="none" w:sz="0" w:space="0" w:color="auto"/>
      </w:divBdr>
    </w:div>
    <w:div w:id="1556817642">
      <w:bodyDiv w:val="1"/>
      <w:marLeft w:val="0"/>
      <w:marRight w:val="0"/>
      <w:marTop w:val="0"/>
      <w:marBottom w:val="0"/>
      <w:divBdr>
        <w:top w:val="none" w:sz="0" w:space="0" w:color="auto"/>
        <w:left w:val="none" w:sz="0" w:space="0" w:color="auto"/>
        <w:bottom w:val="none" w:sz="0" w:space="0" w:color="auto"/>
        <w:right w:val="none" w:sz="0" w:space="0" w:color="auto"/>
      </w:divBdr>
    </w:div>
    <w:div w:id="1589000249">
      <w:bodyDiv w:val="1"/>
      <w:marLeft w:val="0"/>
      <w:marRight w:val="0"/>
      <w:marTop w:val="0"/>
      <w:marBottom w:val="0"/>
      <w:divBdr>
        <w:top w:val="none" w:sz="0" w:space="0" w:color="auto"/>
        <w:left w:val="none" w:sz="0" w:space="0" w:color="auto"/>
        <w:bottom w:val="none" w:sz="0" w:space="0" w:color="auto"/>
        <w:right w:val="none" w:sz="0" w:space="0" w:color="auto"/>
      </w:divBdr>
    </w:div>
    <w:div w:id="1592809996">
      <w:bodyDiv w:val="1"/>
      <w:marLeft w:val="0"/>
      <w:marRight w:val="0"/>
      <w:marTop w:val="0"/>
      <w:marBottom w:val="0"/>
      <w:divBdr>
        <w:top w:val="none" w:sz="0" w:space="0" w:color="auto"/>
        <w:left w:val="none" w:sz="0" w:space="0" w:color="auto"/>
        <w:bottom w:val="none" w:sz="0" w:space="0" w:color="auto"/>
        <w:right w:val="none" w:sz="0" w:space="0" w:color="auto"/>
      </w:divBdr>
    </w:div>
    <w:div w:id="1603146379">
      <w:bodyDiv w:val="1"/>
      <w:marLeft w:val="0"/>
      <w:marRight w:val="0"/>
      <w:marTop w:val="0"/>
      <w:marBottom w:val="0"/>
      <w:divBdr>
        <w:top w:val="none" w:sz="0" w:space="0" w:color="auto"/>
        <w:left w:val="none" w:sz="0" w:space="0" w:color="auto"/>
        <w:bottom w:val="none" w:sz="0" w:space="0" w:color="auto"/>
        <w:right w:val="none" w:sz="0" w:space="0" w:color="auto"/>
      </w:divBdr>
    </w:div>
    <w:div w:id="1630746257">
      <w:bodyDiv w:val="1"/>
      <w:marLeft w:val="0"/>
      <w:marRight w:val="0"/>
      <w:marTop w:val="0"/>
      <w:marBottom w:val="0"/>
      <w:divBdr>
        <w:top w:val="none" w:sz="0" w:space="0" w:color="auto"/>
        <w:left w:val="none" w:sz="0" w:space="0" w:color="auto"/>
        <w:bottom w:val="none" w:sz="0" w:space="0" w:color="auto"/>
        <w:right w:val="none" w:sz="0" w:space="0" w:color="auto"/>
      </w:divBdr>
    </w:div>
    <w:div w:id="1632634934">
      <w:bodyDiv w:val="1"/>
      <w:marLeft w:val="0"/>
      <w:marRight w:val="0"/>
      <w:marTop w:val="0"/>
      <w:marBottom w:val="0"/>
      <w:divBdr>
        <w:top w:val="none" w:sz="0" w:space="0" w:color="auto"/>
        <w:left w:val="none" w:sz="0" w:space="0" w:color="auto"/>
        <w:bottom w:val="none" w:sz="0" w:space="0" w:color="auto"/>
        <w:right w:val="none" w:sz="0" w:space="0" w:color="auto"/>
      </w:divBdr>
    </w:div>
    <w:div w:id="1639607062">
      <w:bodyDiv w:val="1"/>
      <w:marLeft w:val="0"/>
      <w:marRight w:val="0"/>
      <w:marTop w:val="0"/>
      <w:marBottom w:val="0"/>
      <w:divBdr>
        <w:top w:val="none" w:sz="0" w:space="0" w:color="auto"/>
        <w:left w:val="none" w:sz="0" w:space="0" w:color="auto"/>
        <w:bottom w:val="none" w:sz="0" w:space="0" w:color="auto"/>
        <w:right w:val="none" w:sz="0" w:space="0" w:color="auto"/>
      </w:divBdr>
    </w:div>
    <w:div w:id="1643192901">
      <w:bodyDiv w:val="1"/>
      <w:marLeft w:val="0"/>
      <w:marRight w:val="0"/>
      <w:marTop w:val="0"/>
      <w:marBottom w:val="0"/>
      <w:divBdr>
        <w:top w:val="none" w:sz="0" w:space="0" w:color="auto"/>
        <w:left w:val="none" w:sz="0" w:space="0" w:color="auto"/>
        <w:bottom w:val="none" w:sz="0" w:space="0" w:color="auto"/>
        <w:right w:val="none" w:sz="0" w:space="0" w:color="auto"/>
      </w:divBdr>
    </w:div>
    <w:div w:id="1662463065">
      <w:bodyDiv w:val="1"/>
      <w:marLeft w:val="0"/>
      <w:marRight w:val="0"/>
      <w:marTop w:val="0"/>
      <w:marBottom w:val="0"/>
      <w:divBdr>
        <w:top w:val="none" w:sz="0" w:space="0" w:color="auto"/>
        <w:left w:val="none" w:sz="0" w:space="0" w:color="auto"/>
        <w:bottom w:val="none" w:sz="0" w:space="0" w:color="auto"/>
        <w:right w:val="none" w:sz="0" w:space="0" w:color="auto"/>
      </w:divBdr>
    </w:div>
    <w:div w:id="1665621411">
      <w:bodyDiv w:val="1"/>
      <w:marLeft w:val="0"/>
      <w:marRight w:val="0"/>
      <w:marTop w:val="0"/>
      <w:marBottom w:val="0"/>
      <w:divBdr>
        <w:top w:val="none" w:sz="0" w:space="0" w:color="auto"/>
        <w:left w:val="none" w:sz="0" w:space="0" w:color="auto"/>
        <w:bottom w:val="none" w:sz="0" w:space="0" w:color="auto"/>
        <w:right w:val="none" w:sz="0" w:space="0" w:color="auto"/>
      </w:divBdr>
    </w:div>
    <w:div w:id="1667780448">
      <w:bodyDiv w:val="1"/>
      <w:marLeft w:val="0"/>
      <w:marRight w:val="0"/>
      <w:marTop w:val="0"/>
      <w:marBottom w:val="0"/>
      <w:divBdr>
        <w:top w:val="none" w:sz="0" w:space="0" w:color="auto"/>
        <w:left w:val="none" w:sz="0" w:space="0" w:color="auto"/>
        <w:bottom w:val="none" w:sz="0" w:space="0" w:color="auto"/>
        <w:right w:val="none" w:sz="0" w:space="0" w:color="auto"/>
      </w:divBdr>
    </w:div>
    <w:div w:id="1691688674">
      <w:bodyDiv w:val="1"/>
      <w:marLeft w:val="0"/>
      <w:marRight w:val="0"/>
      <w:marTop w:val="0"/>
      <w:marBottom w:val="0"/>
      <w:divBdr>
        <w:top w:val="none" w:sz="0" w:space="0" w:color="auto"/>
        <w:left w:val="none" w:sz="0" w:space="0" w:color="auto"/>
        <w:bottom w:val="none" w:sz="0" w:space="0" w:color="auto"/>
        <w:right w:val="none" w:sz="0" w:space="0" w:color="auto"/>
      </w:divBdr>
    </w:div>
    <w:div w:id="1693991997">
      <w:bodyDiv w:val="1"/>
      <w:marLeft w:val="0"/>
      <w:marRight w:val="0"/>
      <w:marTop w:val="0"/>
      <w:marBottom w:val="0"/>
      <w:divBdr>
        <w:top w:val="none" w:sz="0" w:space="0" w:color="auto"/>
        <w:left w:val="none" w:sz="0" w:space="0" w:color="auto"/>
        <w:bottom w:val="none" w:sz="0" w:space="0" w:color="auto"/>
        <w:right w:val="none" w:sz="0" w:space="0" w:color="auto"/>
      </w:divBdr>
    </w:div>
    <w:div w:id="1696035555">
      <w:bodyDiv w:val="1"/>
      <w:marLeft w:val="0"/>
      <w:marRight w:val="0"/>
      <w:marTop w:val="0"/>
      <w:marBottom w:val="0"/>
      <w:divBdr>
        <w:top w:val="none" w:sz="0" w:space="0" w:color="auto"/>
        <w:left w:val="none" w:sz="0" w:space="0" w:color="auto"/>
        <w:bottom w:val="none" w:sz="0" w:space="0" w:color="auto"/>
        <w:right w:val="none" w:sz="0" w:space="0" w:color="auto"/>
      </w:divBdr>
    </w:div>
    <w:div w:id="1698116810">
      <w:bodyDiv w:val="1"/>
      <w:marLeft w:val="0"/>
      <w:marRight w:val="0"/>
      <w:marTop w:val="0"/>
      <w:marBottom w:val="0"/>
      <w:divBdr>
        <w:top w:val="none" w:sz="0" w:space="0" w:color="auto"/>
        <w:left w:val="none" w:sz="0" w:space="0" w:color="auto"/>
        <w:bottom w:val="none" w:sz="0" w:space="0" w:color="auto"/>
        <w:right w:val="none" w:sz="0" w:space="0" w:color="auto"/>
      </w:divBdr>
    </w:div>
    <w:div w:id="1704406059">
      <w:bodyDiv w:val="1"/>
      <w:marLeft w:val="0"/>
      <w:marRight w:val="0"/>
      <w:marTop w:val="0"/>
      <w:marBottom w:val="0"/>
      <w:divBdr>
        <w:top w:val="none" w:sz="0" w:space="0" w:color="auto"/>
        <w:left w:val="none" w:sz="0" w:space="0" w:color="auto"/>
        <w:bottom w:val="none" w:sz="0" w:space="0" w:color="auto"/>
        <w:right w:val="none" w:sz="0" w:space="0" w:color="auto"/>
      </w:divBdr>
    </w:div>
    <w:div w:id="1711997622">
      <w:bodyDiv w:val="1"/>
      <w:marLeft w:val="0"/>
      <w:marRight w:val="0"/>
      <w:marTop w:val="0"/>
      <w:marBottom w:val="0"/>
      <w:divBdr>
        <w:top w:val="none" w:sz="0" w:space="0" w:color="auto"/>
        <w:left w:val="none" w:sz="0" w:space="0" w:color="auto"/>
        <w:bottom w:val="none" w:sz="0" w:space="0" w:color="auto"/>
        <w:right w:val="none" w:sz="0" w:space="0" w:color="auto"/>
      </w:divBdr>
    </w:div>
    <w:div w:id="1714503749">
      <w:bodyDiv w:val="1"/>
      <w:marLeft w:val="0"/>
      <w:marRight w:val="0"/>
      <w:marTop w:val="0"/>
      <w:marBottom w:val="0"/>
      <w:divBdr>
        <w:top w:val="none" w:sz="0" w:space="0" w:color="auto"/>
        <w:left w:val="none" w:sz="0" w:space="0" w:color="auto"/>
        <w:bottom w:val="none" w:sz="0" w:space="0" w:color="auto"/>
        <w:right w:val="none" w:sz="0" w:space="0" w:color="auto"/>
      </w:divBdr>
    </w:div>
    <w:div w:id="1727299145">
      <w:bodyDiv w:val="1"/>
      <w:marLeft w:val="0"/>
      <w:marRight w:val="0"/>
      <w:marTop w:val="0"/>
      <w:marBottom w:val="0"/>
      <w:divBdr>
        <w:top w:val="none" w:sz="0" w:space="0" w:color="auto"/>
        <w:left w:val="none" w:sz="0" w:space="0" w:color="auto"/>
        <w:bottom w:val="none" w:sz="0" w:space="0" w:color="auto"/>
        <w:right w:val="none" w:sz="0" w:space="0" w:color="auto"/>
      </w:divBdr>
    </w:div>
    <w:div w:id="1737163284">
      <w:bodyDiv w:val="1"/>
      <w:marLeft w:val="0"/>
      <w:marRight w:val="0"/>
      <w:marTop w:val="0"/>
      <w:marBottom w:val="0"/>
      <w:divBdr>
        <w:top w:val="none" w:sz="0" w:space="0" w:color="auto"/>
        <w:left w:val="none" w:sz="0" w:space="0" w:color="auto"/>
        <w:bottom w:val="none" w:sz="0" w:space="0" w:color="auto"/>
        <w:right w:val="none" w:sz="0" w:space="0" w:color="auto"/>
      </w:divBdr>
    </w:div>
    <w:div w:id="1739666530">
      <w:bodyDiv w:val="1"/>
      <w:marLeft w:val="0"/>
      <w:marRight w:val="0"/>
      <w:marTop w:val="0"/>
      <w:marBottom w:val="0"/>
      <w:divBdr>
        <w:top w:val="none" w:sz="0" w:space="0" w:color="auto"/>
        <w:left w:val="none" w:sz="0" w:space="0" w:color="auto"/>
        <w:bottom w:val="none" w:sz="0" w:space="0" w:color="auto"/>
        <w:right w:val="none" w:sz="0" w:space="0" w:color="auto"/>
      </w:divBdr>
    </w:div>
    <w:div w:id="1743793763">
      <w:bodyDiv w:val="1"/>
      <w:marLeft w:val="0"/>
      <w:marRight w:val="0"/>
      <w:marTop w:val="0"/>
      <w:marBottom w:val="0"/>
      <w:divBdr>
        <w:top w:val="none" w:sz="0" w:space="0" w:color="auto"/>
        <w:left w:val="none" w:sz="0" w:space="0" w:color="auto"/>
        <w:bottom w:val="none" w:sz="0" w:space="0" w:color="auto"/>
        <w:right w:val="none" w:sz="0" w:space="0" w:color="auto"/>
      </w:divBdr>
    </w:div>
    <w:div w:id="1753500977">
      <w:bodyDiv w:val="1"/>
      <w:marLeft w:val="0"/>
      <w:marRight w:val="0"/>
      <w:marTop w:val="0"/>
      <w:marBottom w:val="0"/>
      <w:divBdr>
        <w:top w:val="none" w:sz="0" w:space="0" w:color="auto"/>
        <w:left w:val="none" w:sz="0" w:space="0" w:color="auto"/>
        <w:bottom w:val="none" w:sz="0" w:space="0" w:color="auto"/>
        <w:right w:val="none" w:sz="0" w:space="0" w:color="auto"/>
      </w:divBdr>
    </w:div>
    <w:div w:id="1780104007">
      <w:bodyDiv w:val="1"/>
      <w:marLeft w:val="0"/>
      <w:marRight w:val="0"/>
      <w:marTop w:val="0"/>
      <w:marBottom w:val="0"/>
      <w:divBdr>
        <w:top w:val="none" w:sz="0" w:space="0" w:color="auto"/>
        <w:left w:val="none" w:sz="0" w:space="0" w:color="auto"/>
        <w:bottom w:val="none" w:sz="0" w:space="0" w:color="auto"/>
        <w:right w:val="none" w:sz="0" w:space="0" w:color="auto"/>
      </w:divBdr>
    </w:div>
    <w:div w:id="1800027142">
      <w:bodyDiv w:val="1"/>
      <w:marLeft w:val="0"/>
      <w:marRight w:val="0"/>
      <w:marTop w:val="0"/>
      <w:marBottom w:val="0"/>
      <w:divBdr>
        <w:top w:val="none" w:sz="0" w:space="0" w:color="auto"/>
        <w:left w:val="none" w:sz="0" w:space="0" w:color="auto"/>
        <w:bottom w:val="none" w:sz="0" w:space="0" w:color="auto"/>
        <w:right w:val="none" w:sz="0" w:space="0" w:color="auto"/>
      </w:divBdr>
    </w:div>
    <w:div w:id="1811246304">
      <w:bodyDiv w:val="1"/>
      <w:marLeft w:val="0"/>
      <w:marRight w:val="0"/>
      <w:marTop w:val="0"/>
      <w:marBottom w:val="0"/>
      <w:divBdr>
        <w:top w:val="none" w:sz="0" w:space="0" w:color="auto"/>
        <w:left w:val="none" w:sz="0" w:space="0" w:color="auto"/>
        <w:bottom w:val="none" w:sz="0" w:space="0" w:color="auto"/>
        <w:right w:val="none" w:sz="0" w:space="0" w:color="auto"/>
      </w:divBdr>
    </w:div>
    <w:div w:id="1814638973">
      <w:bodyDiv w:val="1"/>
      <w:marLeft w:val="0"/>
      <w:marRight w:val="0"/>
      <w:marTop w:val="0"/>
      <w:marBottom w:val="0"/>
      <w:divBdr>
        <w:top w:val="none" w:sz="0" w:space="0" w:color="auto"/>
        <w:left w:val="none" w:sz="0" w:space="0" w:color="auto"/>
        <w:bottom w:val="none" w:sz="0" w:space="0" w:color="auto"/>
        <w:right w:val="none" w:sz="0" w:space="0" w:color="auto"/>
      </w:divBdr>
    </w:div>
    <w:div w:id="1838112125">
      <w:bodyDiv w:val="1"/>
      <w:marLeft w:val="0"/>
      <w:marRight w:val="0"/>
      <w:marTop w:val="0"/>
      <w:marBottom w:val="0"/>
      <w:divBdr>
        <w:top w:val="none" w:sz="0" w:space="0" w:color="auto"/>
        <w:left w:val="none" w:sz="0" w:space="0" w:color="auto"/>
        <w:bottom w:val="none" w:sz="0" w:space="0" w:color="auto"/>
        <w:right w:val="none" w:sz="0" w:space="0" w:color="auto"/>
      </w:divBdr>
    </w:div>
    <w:div w:id="1845776478">
      <w:bodyDiv w:val="1"/>
      <w:marLeft w:val="0"/>
      <w:marRight w:val="0"/>
      <w:marTop w:val="0"/>
      <w:marBottom w:val="0"/>
      <w:divBdr>
        <w:top w:val="none" w:sz="0" w:space="0" w:color="auto"/>
        <w:left w:val="none" w:sz="0" w:space="0" w:color="auto"/>
        <w:bottom w:val="none" w:sz="0" w:space="0" w:color="auto"/>
        <w:right w:val="none" w:sz="0" w:space="0" w:color="auto"/>
      </w:divBdr>
    </w:div>
    <w:div w:id="1848445227">
      <w:bodyDiv w:val="1"/>
      <w:marLeft w:val="0"/>
      <w:marRight w:val="0"/>
      <w:marTop w:val="0"/>
      <w:marBottom w:val="0"/>
      <w:divBdr>
        <w:top w:val="none" w:sz="0" w:space="0" w:color="auto"/>
        <w:left w:val="none" w:sz="0" w:space="0" w:color="auto"/>
        <w:bottom w:val="none" w:sz="0" w:space="0" w:color="auto"/>
        <w:right w:val="none" w:sz="0" w:space="0" w:color="auto"/>
      </w:divBdr>
    </w:div>
    <w:div w:id="1861967145">
      <w:bodyDiv w:val="1"/>
      <w:marLeft w:val="0"/>
      <w:marRight w:val="0"/>
      <w:marTop w:val="0"/>
      <w:marBottom w:val="0"/>
      <w:divBdr>
        <w:top w:val="none" w:sz="0" w:space="0" w:color="auto"/>
        <w:left w:val="none" w:sz="0" w:space="0" w:color="auto"/>
        <w:bottom w:val="none" w:sz="0" w:space="0" w:color="auto"/>
        <w:right w:val="none" w:sz="0" w:space="0" w:color="auto"/>
      </w:divBdr>
    </w:div>
    <w:div w:id="1866013266">
      <w:bodyDiv w:val="1"/>
      <w:marLeft w:val="0"/>
      <w:marRight w:val="0"/>
      <w:marTop w:val="0"/>
      <w:marBottom w:val="0"/>
      <w:divBdr>
        <w:top w:val="none" w:sz="0" w:space="0" w:color="auto"/>
        <w:left w:val="none" w:sz="0" w:space="0" w:color="auto"/>
        <w:bottom w:val="none" w:sz="0" w:space="0" w:color="auto"/>
        <w:right w:val="none" w:sz="0" w:space="0" w:color="auto"/>
      </w:divBdr>
    </w:div>
    <w:div w:id="1866943176">
      <w:bodyDiv w:val="1"/>
      <w:marLeft w:val="0"/>
      <w:marRight w:val="0"/>
      <w:marTop w:val="0"/>
      <w:marBottom w:val="0"/>
      <w:divBdr>
        <w:top w:val="none" w:sz="0" w:space="0" w:color="auto"/>
        <w:left w:val="none" w:sz="0" w:space="0" w:color="auto"/>
        <w:bottom w:val="none" w:sz="0" w:space="0" w:color="auto"/>
        <w:right w:val="none" w:sz="0" w:space="0" w:color="auto"/>
      </w:divBdr>
    </w:div>
    <w:div w:id="1873611776">
      <w:bodyDiv w:val="1"/>
      <w:marLeft w:val="0"/>
      <w:marRight w:val="0"/>
      <w:marTop w:val="0"/>
      <w:marBottom w:val="0"/>
      <w:divBdr>
        <w:top w:val="none" w:sz="0" w:space="0" w:color="auto"/>
        <w:left w:val="none" w:sz="0" w:space="0" w:color="auto"/>
        <w:bottom w:val="none" w:sz="0" w:space="0" w:color="auto"/>
        <w:right w:val="none" w:sz="0" w:space="0" w:color="auto"/>
      </w:divBdr>
    </w:div>
    <w:div w:id="1879314365">
      <w:bodyDiv w:val="1"/>
      <w:marLeft w:val="0"/>
      <w:marRight w:val="0"/>
      <w:marTop w:val="0"/>
      <w:marBottom w:val="0"/>
      <w:divBdr>
        <w:top w:val="none" w:sz="0" w:space="0" w:color="auto"/>
        <w:left w:val="none" w:sz="0" w:space="0" w:color="auto"/>
        <w:bottom w:val="none" w:sz="0" w:space="0" w:color="auto"/>
        <w:right w:val="none" w:sz="0" w:space="0" w:color="auto"/>
      </w:divBdr>
    </w:div>
    <w:div w:id="1891914853">
      <w:bodyDiv w:val="1"/>
      <w:marLeft w:val="0"/>
      <w:marRight w:val="0"/>
      <w:marTop w:val="0"/>
      <w:marBottom w:val="0"/>
      <w:divBdr>
        <w:top w:val="none" w:sz="0" w:space="0" w:color="auto"/>
        <w:left w:val="none" w:sz="0" w:space="0" w:color="auto"/>
        <w:bottom w:val="none" w:sz="0" w:space="0" w:color="auto"/>
        <w:right w:val="none" w:sz="0" w:space="0" w:color="auto"/>
      </w:divBdr>
    </w:div>
    <w:div w:id="1895005350">
      <w:bodyDiv w:val="1"/>
      <w:marLeft w:val="0"/>
      <w:marRight w:val="0"/>
      <w:marTop w:val="0"/>
      <w:marBottom w:val="0"/>
      <w:divBdr>
        <w:top w:val="none" w:sz="0" w:space="0" w:color="auto"/>
        <w:left w:val="none" w:sz="0" w:space="0" w:color="auto"/>
        <w:bottom w:val="none" w:sz="0" w:space="0" w:color="auto"/>
        <w:right w:val="none" w:sz="0" w:space="0" w:color="auto"/>
      </w:divBdr>
    </w:div>
    <w:div w:id="1903904335">
      <w:bodyDiv w:val="1"/>
      <w:marLeft w:val="0"/>
      <w:marRight w:val="0"/>
      <w:marTop w:val="0"/>
      <w:marBottom w:val="0"/>
      <w:divBdr>
        <w:top w:val="none" w:sz="0" w:space="0" w:color="auto"/>
        <w:left w:val="none" w:sz="0" w:space="0" w:color="auto"/>
        <w:bottom w:val="none" w:sz="0" w:space="0" w:color="auto"/>
        <w:right w:val="none" w:sz="0" w:space="0" w:color="auto"/>
      </w:divBdr>
    </w:div>
    <w:div w:id="1905800114">
      <w:bodyDiv w:val="1"/>
      <w:marLeft w:val="0"/>
      <w:marRight w:val="0"/>
      <w:marTop w:val="0"/>
      <w:marBottom w:val="0"/>
      <w:divBdr>
        <w:top w:val="none" w:sz="0" w:space="0" w:color="auto"/>
        <w:left w:val="none" w:sz="0" w:space="0" w:color="auto"/>
        <w:bottom w:val="none" w:sz="0" w:space="0" w:color="auto"/>
        <w:right w:val="none" w:sz="0" w:space="0" w:color="auto"/>
      </w:divBdr>
    </w:div>
    <w:div w:id="1907570414">
      <w:bodyDiv w:val="1"/>
      <w:marLeft w:val="0"/>
      <w:marRight w:val="0"/>
      <w:marTop w:val="0"/>
      <w:marBottom w:val="0"/>
      <w:divBdr>
        <w:top w:val="none" w:sz="0" w:space="0" w:color="auto"/>
        <w:left w:val="none" w:sz="0" w:space="0" w:color="auto"/>
        <w:bottom w:val="none" w:sz="0" w:space="0" w:color="auto"/>
        <w:right w:val="none" w:sz="0" w:space="0" w:color="auto"/>
      </w:divBdr>
    </w:div>
    <w:div w:id="1909459236">
      <w:bodyDiv w:val="1"/>
      <w:marLeft w:val="0"/>
      <w:marRight w:val="0"/>
      <w:marTop w:val="0"/>
      <w:marBottom w:val="0"/>
      <w:divBdr>
        <w:top w:val="none" w:sz="0" w:space="0" w:color="auto"/>
        <w:left w:val="none" w:sz="0" w:space="0" w:color="auto"/>
        <w:bottom w:val="none" w:sz="0" w:space="0" w:color="auto"/>
        <w:right w:val="none" w:sz="0" w:space="0" w:color="auto"/>
      </w:divBdr>
    </w:div>
    <w:div w:id="1910069616">
      <w:bodyDiv w:val="1"/>
      <w:marLeft w:val="0"/>
      <w:marRight w:val="0"/>
      <w:marTop w:val="0"/>
      <w:marBottom w:val="0"/>
      <w:divBdr>
        <w:top w:val="none" w:sz="0" w:space="0" w:color="auto"/>
        <w:left w:val="none" w:sz="0" w:space="0" w:color="auto"/>
        <w:bottom w:val="none" w:sz="0" w:space="0" w:color="auto"/>
        <w:right w:val="none" w:sz="0" w:space="0" w:color="auto"/>
      </w:divBdr>
    </w:div>
    <w:div w:id="1917398747">
      <w:bodyDiv w:val="1"/>
      <w:marLeft w:val="0"/>
      <w:marRight w:val="0"/>
      <w:marTop w:val="0"/>
      <w:marBottom w:val="0"/>
      <w:divBdr>
        <w:top w:val="none" w:sz="0" w:space="0" w:color="auto"/>
        <w:left w:val="none" w:sz="0" w:space="0" w:color="auto"/>
        <w:bottom w:val="none" w:sz="0" w:space="0" w:color="auto"/>
        <w:right w:val="none" w:sz="0" w:space="0" w:color="auto"/>
      </w:divBdr>
    </w:div>
    <w:div w:id="1950550619">
      <w:bodyDiv w:val="1"/>
      <w:marLeft w:val="0"/>
      <w:marRight w:val="0"/>
      <w:marTop w:val="0"/>
      <w:marBottom w:val="0"/>
      <w:divBdr>
        <w:top w:val="none" w:sz="0" w:space="0" w:color="auto"/>
        <w:left w:val="none" w:sz="0" w:space="0" w:color="auto"/>
        <w:bottom w:val="none" w:sz="0" w:space="0" w:color="auto"/>
        <w:right w:val="none" w:sz="0" w:space="0" w:color="auto"/>
      </w:divBdr>
    </w:div>
    <w:div w:id="1951429618">
      <w:bodyDiv w:val="1"/>
      <w:marLeft w:val="0"/>
      <w:marRight w:val="0"/>
      <w:marTop w:val="0"/>
      <w:marBottom w:val="0"/>
      <w:divBdr>
        <w:top w:val="none" w:sz="0" w:space="0" w:color="auto"/>
        <w:left w:val="none" w:sz="0" w:space="0" w:color="auto"/>
        <w:bottom w:val="none" w:sz="0" w:space="0" w:color="auto"/>
        <w:right w:val="none" w:sz="0" w:space="0" w:color="auto"/>
      </w:divBdr>
    </w:div>
    <w:div w:id="1953903149">
      <w:bodyDiv w:val="1"/>
      <w:marLeft w:val="0"/>
      <w:marRight w:val="0"/>
      <w:marTop w:val="0"/>
      <w:marBottom w:val="0"/>
      <w:divBdr>
        <w:top w:val="none" w:sz="0" w:space="0" w:color="auto"/>
        <w:left w:val="none" w:sz="0" w:space="0" w:color="auto"/>
        <w:bottom w:val="none" w:sz="0" w:space="0" w:color="auto"/>
        <w:right w:val="none" w:sz="0" w:space="0" w:color="auto"/>
      </w:divBdr>
    </w:div>
    <w:div w:id="1967007939">
      <w:bodyDiv w:val="1"/>
      <w:marLeft w:val="0"/>
      <w:marRight w:val="0"/>
      <w:marTop w:val="0"/>
      <w:marBottom w:val="0"/>
      <w:divBdr>
        <w:top w:val="none" w:sz="0" w:space="0" w:color="auto"/>
        <w:left w:val="none" w:sz="0" w:space="0" w:color="auto"/>
        <w:bottom w:val="none" w:sz="0" w:space="0" w:color="auto"/>
        <w:right w:val="none" w:sz="0" w:space="0" w:color="auto"/>
      </w:divBdr>
    </w:div>
    <w:div w:id="1974364958">
      <w:bodyDiv w:val="1"/>
      <w:marLeft w:val="0"/>
      <w:marRight w:val="0"/>
      <w:marTop w:val="0"/>
      <w:marBottom w:val="0"/>
      <w:divBdr>
        <w:top w:val="none" w:sz="0" w:space="0" w:color="auto"/>
        <w:left w:val="none" w:sz="0" w:space="0" w:color="auto"/>
        <w:bottom w:val="none" w:sz="0" w:space="0" w:color="auto"/>
        <w:right w:val="none" w:sz="0" w:space="0" w:color="auto"/>
      </w:divBdr>
    </w:div>
    <w:div w:id="1974749395">
      <w:bodyDiv w:val="1"/>
      <w:marLeft w:val="0"/>
      <w:marRight w:val="0"/>
      <w:marTop w:val="0"/>
      <w:marBottom w:val="0"/>
      <w:divBdr>
        <w:top w:val="none" w:sz="0" w:space="0" w:color="auto"/>
        <w:left w:val="none" w:sz="0" w:space="0" w:color="auto"/>
        <w:bottom w:val="none" w:sz="0" w:space="0" w:color="auto"/>
        <w:right w:val="none" w:sz="0" w:space="0" w:color="auto"/>
      </w:divBdr>
    </w:div>
    <w:div w:id="1981954535">
      <w:bodyDiv w:val="1"/>
      <w:marLeft w:val="0"/>
      <w:marRight w:val="0"/>
      <w:marTop w:val="0"/>
      <w:marBottom w:val="0"/>
      <w:divBdr>
        <w:top w:val="none" w:sz="0" w:space="0" w:color="auto"/>
        <w:left w:val="none" w:sz="0" w:space="0" w:color="auto"/>
        <w:bottom w:val="none" w:sz="0" w:space="0" w:color="auto"/>
        <w:right w:val="none" w:sz="0" w:space="0" w:color="auto"/>
      </w:divBdr>
    </w:div>
    <w:div w:id="1992709707">
      <w:bodyDiv w:val="1"/>
      <w:marLeft w:val="0"/>
      <w:marRight w:val="0"/>
      <w:marTop w:val="0"/>
      <w:marBottom w:val="0"/>
      <w:divBdr>
        <w:top w:val="none" w:sz="0" w:space="0" w:color="auto"/>
        <w:left w:val="none" w:sz="0" w:space="0" w:color="auto"/>
        <w:bottom w:val="none" w:sz="0" w:space="0" w:color="auto"/>
        <w:right w:val="none" w:sz="0" w:space="0" w:color="auto"/>
      </w:divBdr>
    </w:div>
    <w:div w:id="1994407314">
      <w:bodyDiv w:val="1"/>
      <w:marLeft w:val="0"/>
      <w:marRight w:val="0"/>
      <w:marTop w:val="0"/>
      <w:marBottom w:val="0"/>
      <w:divBdr>
        <w:top w:val="none" w:sz="0" w:space="0" w:color="auto"/>
        <w:left w:val="none" w:sz="0" w:space="0" w:color="auto"/>
        <w:bottom w:val="none" w:sz="0" w:space="0" w:color="auto"/>
        <w:right w:val="none" w:sz="0" w:space="0" w:color="auto"/>
      </w:divBdr>
    </w:div>
    <w:div w:id="2000880740">
      <w:bodyDiv w:val="1"/>
      <w:marLeft w:val="0"/>
      <w:marRight w:val="0"/>
      <w:marTop w:val="0"/>
      <w:marBottom w:val="0"/>
      <w:divBdr>
        <w:top w:val="none" w:sz="0" w:space="0" w:color="auto"/>
        <w:left w:val="none" w:sz="0" w:space="0" w:color="auto"/>
        <w:bottom w:val="none" w:sz="0" w:space="0" w:color="auto"/>
        <w:right w:val="none" w:sz="0" w:space="0" w:color="auto"/>
      </w:divBdr>
    </w:div>
    <w:div w:id="2008628579">
      <w:bodyDiv w:val="1"/>
      <w:marLeft w:val="0"/>
      <w:marRight w:val="0"/>
      <w:marTop w:val="0"/>
      <w:marBottom w:val="0"/>
      <w:divBdr>
        <w:top w:val="none" w:sz="0" w:space="0" w:color="auto"/>
        <w:left w:val="none" w:sz="0" w:space="0" w:color="auto"/>
        <w:bottom w:val="none" w:sz="0" w:space="0" w:color="auto"/>
        <w:right w:val="none" w:sz="0" w:space="0" w:color="auto"/>
      </w:divBdr>
    </w:div>
    <w:div w:id="2009404969">
      <w:bodyDiv w:val="1"/>
      <w:marLeft w:val="0"/>
      <w:marRight w:val="0"/>
      <w:marTop w:val="0"/>
      <w:marBottom w:val="0"/>
      <w:divBdr>
        <w:top w:val="none" w:sz="0" w:space="0" w:color="auto"/>
        <w:left w:val="none" w:sz="0" w:space="0" w:color="auto"/>
        <w:bottom w:val="none" w:sz="0" w:space="0" w:color="auto"/>
        <w:right w:val="none" w:sz="0" w:space="0" w:color="auto"/>
      </w:divBdr>
    </w:div>
    <w:div w:id="2032996476">
      <w:bodyDiv w:val="1"/>
      <w:marLeft w:val="0"/>
      <w:marRight w:val="0"/>
      <w:marTop w:val="0"/>
      <w:marBottom w:val="0"/>
      <w:divBdr>
        <w:top w:val="none" w:sz="0" w:space="0" w:color="auto"/>
        <w:left w:val="none" w:sz="0" w:space="0" w:color="auto"/>
        <w:bottom w:val="none" w:sz="0" w:space="0" w:color="auto"/>
        <w:right w:val="none" w:sz="0" w:space="0" w:color="auto"/>
      </w:divBdr>
    </w:div>
    <w:div w:id="2034307855">
      <w:bodyDiv w:val="1"/>
      <w:marLeft w:val="0"/>
      <w:marRight w:val="0"/>
      <w:marTop w:val="0"/>
      <w:marBottom w:val="0"/>
      <w:divBdr>
        <w:top w:val="none" w:sz="0" w:space="0" w:color="auto"/>
        <w:left w:val="none" w:sz="0" w:space="0" w:color="auto"/>
        <w:bottom w:val="none" w:sz="0" w:space="0" w:color="auto"/>
        <w:right w:val="none" w:sz="0" w:space="0" w:color="auto"/>
      </w:divBdr>
    </w:div>
    <w:div w:id="2047870130">
      <w:bodyDiv w:val="1"/>
      <w:marLeft w:val="0"/>
      <w:marRight w:val="0"/>
      <w:marTop w:val="0"/>
      <w:marBottom w:val="0"/>
      <w:divBdr>
        <w:top w:val="none" w:sz="0" w:space="0" w:color="auto"/>
        <w:left w:val="none" w:sz="0" w:space="0" w:color="auto"/>
        <w:bottom w:val="none" w:sz="0" w:space="0" w:color="auto"/>
        <w:right w:val="none" w:sz="0" w:space="0" w:color="auto"/>
      </w:divBdr>
    </w:div>
    <w:div w:id="2051107502">
      <w:bodyDiv w:val="1"/>
      <w:marLeft w:val="0"/>
      <w:marRight w:val="0"/>
      <w:marTop w:val="0"/>
      <w:marBottom w:val="0"/>
      <w:divBdr>
        <w:top w:val="none" w:sz="0" w:space="0" w:color="auto"/>
        <w:left w:val="none" w:sz="0" w:space="0" w:color="auto"/>
        <w:bottom w:val="none" w:sz="0" w:space="0" w:color="auto"/>
        <w:right w:val="none" w:sz="0" w:space="0" w:color="auto"/>
      </w:divBdr>
    </w:div>
    <w:div w:id="2051762362">
      <w:bodyDiv w:val="1"/>
      <w:marLeft w:val="0"/>
      <w:marRight w:val="0"/>
      <w:marTop w:val="0"/>
      <w:marBottom w:val="0"/>
      <w:divBdr>
        <w:top w:val="none" w:sz="0" w:space="0" w:color="auto"/>
        <w:left w:val="none" w:sz="0" w:space="0" w:color="auto"/>
        <w:bottom w:val="none" w:sz="0" w:space="0" w:color="auto"/>
        <w:right w:val="none" w:sz="0" w:space="0" w:color="auto"/>
      </w:divBdr>
    </w:div>
    <w:div w:id="2062092470">
      <w:bodyDiv w:val="1"/>
      <w:marLeft w:val="0"/>
      <w:marRight w:val="0"/>
      <w:marTop w:val="0"/>
      <w:marBottom w:val="0"/>
      <w:divBdr>
        <w:top w:val="none" w:sz="0" w:space="0" w:color="auto"/>
        <w:left w:val="none" w:sz="0" w:space="0" w:color="auto"/>
        <w:bottom w:val="none" w:sz="0" w:space="0" w:color="auto"/>
        <w:right w:val="none" w:sz="0" w:space="0" w:color="auto"/>
      </w:divBdr>
    </w:div>
    <w:div w:id="2063559582">
      <w:bodyDiv w:val="1"/>
      <w:marLeft w:val="0"/>
      <w:marRight w:val="0"/>
      <w:marTop w:val="0"/>
      <w:marBottom w:val="0"/>
      <w:divBdr>
        <w:top w:val="none" w:sz="0" w:space="0" w:color="auto"/>
        <w:left w:val="none" w:sz="0" w:space="0" w:color="auto"/>
        <w:bottom w:val="none" w:sz="0" w:space="0" w:color="auto"/>
        <w:right w:val="none" w:sz="0" w:space="0" w:color="auto"/>
      </w:divBdr>
    </w:div>
    <w:div w:id="2067293057">
      <w:bodyDiv w:val="1"/>
      <w:marLeft w:val="0"/>
      <w:marRight w:val="0"/>
      <w:marTop w:val="0"/>
      <w:marBottom w:val="0"/>
      <w:divBdr>
        <w:top w:val="none" w:sz="0" w:space="0" w:color="auto"/>
        <w:left w:val="none" w:sz="0" w:space="0" w:color="auto"/>
        <w:bottom w:val="none" w:sz="0" w:space="0" w:color="auto"/>
        <w:right w:val="none" w:sz="0" w:space="0" w:color="auto"/>
      </w:divBdr>
    </w:div>
    <w:div w:id="2074308616">
      <w:bodyDiv w:val="1"/>
      <w:marLeft w:val="0"/>
      <w:marRight w:val="0"/>
      <w:marTop w:val="0"/>
      <w:marBottom w:val="0"/>
      <w:divBdr>
        <w:top w:val="none" w:sz="0" w:space="0" w:color="auto"/>
        <w:left w:val="none" w:sz="0" w:space="0" w:color="auto"/>
        <w:bottom w:val="none" w:sz="0" w:space="0" w:color="auto"/>
        <w:right w:val="none" w:sz="0" w:space="0" w:color="auto"/>
      </w:divBdr>
    </w:div>
    <w:div w:id="2077580268">
      <w:bodyDiv w:val="1"/>
      <w:marLeft w:val="0"/>
      <w:marRight w:val="0"/>
      <w:marTop w:val="0"/>
      <w:marBottom w:val="0"/>
      <w:divBdr>
        <w:top w:val="none" w:sz="0" w:space="0" w:color="auto"/>
        <w:left w:val="none" w:sz="0" w:space="0" w:color="auto"/>
        <w:bottom w:val="none" w:sz="0" w:space="0" w:color="auto"/>
        <w:right w:val="none" w:sz="0" w:space="0" w:color="auto"/>
      </w:divBdr>
    </w:div>
    <w:div w:id="2077969521">
      <w:bodyDiv w:val="1"/>
      <w:marLeft w:val="0"/>
      <w:marRight w:val="0"/>
      <w:marTop w:val="0"/>
      <w:marBottom w:val="0"/>
      <w:divBdr>
        <w:top w:val="none" w:sz="0" w:space="0" w:color="auto"/>
        <w:left w:val="none" w:sz="0" w:space="0" w:color="auto"/>
        <w:bottom w:val="none" w:sz="0" w:space="0" w:color="auto"/>
        <w:right w:val="none" w:sz="0" w:space="0" w:color="auto"/>
      </w:divBdr>
    </w:div>
    <w:div w:id="2082211811">
      <w:bodyDiv w:val="1"/>
      <w:marLeft w:val="0"/>
      <w:marRight w:val="0"/>
      <w:marTop w:val="0"/>
      <w:marBottom w:val="0"/>
      <w:divBdr>
        <w:top w:val="none" w:sz="0" w:space="0" w:color="auto"/>
        <w:left w:val="none" w:sz="0" w:space="0" w:color="auto"/>
        <w:bottom w:val="none" w:sz="0" w:space="0" w:color="auto"/>
        <w:right w:val="none" w:sz="0" w:space="0" w:color="auto"/>
      </w:divBdr>
    </w:div>
    <w:div w:id="2120760308">
      <w:bodyDiv w:val="1"/>
      <w:marLeft w:val="0"/>
      <w:marRight w:val="0"/>
      <w:marTop w:val="0"/>
      <w:marBottom w:val="0"/>
      <w:divBdr>
        <w:top w:val="none" w:sz="0" w:space="0" w:color="auto"/>
        <w:left w:val="none" w:sz="0" w:space="0" w:color="auto"/>
        <w:bottom w:val="none" w:sz="0" w:space="0" w:color="auto"/>
        <w:right w:val="none" w:sz="0" w:space="0" w:color="auto"/>
      </w:divBdr>
    </w:div>
    <w:div w:id="2127654816">
      <w:bodyDiv w:val="1"/>
      <w:marLeft w:val="0"/>
      <w:marRight w:val="0"/>
      <w:marTop w:val="0"/>
      <w:marBottom w:val="0"/>
      <w:divBdr>
        <w:top w:val="none" w:sz="0" w:space="0" w:color="auto"/>
        <w:left w:val="none" w:sz="0" w:space="0" w:color="auto"/>
        <w:bottom w:val="none" w:sz="0" w:space="0" w:color="auto"/>
        <w:right w:val="none" w:sz="0" w:space="0" w:color="auto"/>
      </w:divBdr>
    </w:div>
    <w:div w:id="2129273970">
      <w:bodyDiv w:val="1"/>
      <w:marLeft w:val="0"/>
      <w:marRight w:val="0"/>
      <w:marTop w:val="0"/>
      <w:marBottom w:val="0"/>
      <w:divBdr>
        <w:top w:val="none" w:sz="0" w:space="0" w:color="auto"/>
        <w:left w:val="none" w:sz="0" w:space="0" w:color="auto"/>
        <w:bottom w:val="none" w:sz="0" w:space="0" w:color="auto"/>
        <w:right w:val="none" w:sz="0" w:space="0" w:color="auto"/>
      </w:divBdr>
    </w:div>
    <w:div w:id="214500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ouzongo\Desktop\REQUETES%20HOLDING\REVISION%20SEMESTRIELLE%20DU%20PORTEFEUILLE%20S1%202021\TITRES%20PLACEMENTS%20EIB%20ET%20PIB%20DEC%20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000" b="1">
                <a:solidFill>
                  <a:srgbClr val="0070C0"/>
                </a:solidFill>
              </a:rPr>
              <a:t>PORTEFEUILLE TITRES </a:t>
            </a:r>
          </a:p>
        </c:rich>
      </c:tx>
      <c:layout>
        <c:manualLayout>
          <c:xMode val="edge"/>
          <c:yMode val="edge"/>
          <c:x val="0.39318991376077983"/>
          <c:y val="1.47626218564599E-3"/>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F2-40CF-A699-2F4501F3CD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4F2-40CF-A699-2F4501F3CD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4F2-40CF-A699-2F4501F3CD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4F2-40CF-A699-2F4501F3CD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4F2-40CF-A699-2F4501F3CD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4F2-40CF-A699-2F4501F3CD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4F2-40CF-A699-2F4501F3CD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84F2-40CF-A699-2F4501F3CD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84F2-40CF-A699-2F4501F3CD4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84F2-40CF-A699-2F4501F3CD44}"/>
              </c:ext>
            </c:extLst>
          </c:dPt>
          <c:dLbls>
            <c:dLbl>
              <c:idx val="0"/>
              <c:layout>
                <c:manualLayout>
                  <c:x val="1.240079365079356E-2"/>
                  <c:y val="-9.0632398396029214E-18"/>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4F2-40CF-A699-2F4501F3CD44}"/>
                </c:ext>
              </c:extLst>
            </c:dLbl>
            <c:dLbl>
              <c:idx val="1"/>
              <c:layout>
                <c:manualLayout>
                  <c:x val="3.5242290748898605E-2"/>
                  <c:y val="-1.8631221084907306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4F2-40CF-A699-2F4501F3CD44}"/>
                </c:ext>
              </c:extLst>
            </c:dLbl>
            <c:dLbl>
              <c:idx val="2"/>
              <c:layout>
                <c:manualLayout>
                  <c:x val="3.5242290748898682E-2"/>
                  <c:y val="1.219512195121951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4F2-40CF-A699-2F4501F3CD44}"/>
                </c:ext>
              </c:extLst>
            </c:dLbl>
            <c:dLbl>
              <c:idx val="7"/>
              <c:layout>
                <c:manualLayout>
                  <c:x val="-3.7200195790504161E-2"/>
                  <c:y val="-7.4524884339629224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84F2-40CF-A699-2F4501F3CD44}"/>
                </c:ext>
              </c:extLst>
            </c:dLbl>
            <c:dLbl>
              <c:idx val="8"/>
              <c:layout>
                <c:manualLayout>
                  <c:x val="-4.5031815956926055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84F2-40CF-A699-2F4501F3CD44}"/>
                </c:ext>
              </c:extLst>
            </c:dLbl>
            <c:dLbl>
              <c:idx val="9"/>
              <c:layout>
                <c:manualLayout>
                  <c:x val="7.4404761904761901E-3"/>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84F2-40CF-A699-2F4501F3CD4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dk1">
                        <a:lumMod val="65000"/>
                        <a:lumOff val="35000"/>
                      </a:schemeClr>
                    </a:solidFill>
                    <a:latin typeface="+mn-lt"/>
                    <a:ea typeface="+mn-ea"/>
                    <a:cs typeface="+mn-cs"/>
                  </a:defRPr>
                </a:pPr>
                <a:endParaRPr lang="fr-F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'REVISION PORT'!$A$42:$A$51</c:f>
              <c:strCache>
                <c:ptCount val="10"/>
                <c:pt idx="0">
                  <c:v>BENIN</c:v>
                </c:pt>
                <c:pt idx="1">
                  <c:v>BURKINA</c:v>
                </c:pt>
                <c:pt idx="2">
                  <c:v>COTE D IVOIRE</c:v>
                </c:pt>
                <c:pt idx="3">
                  <c:v>GUINEE BISSAU</c:v>
                </c:pt>
                <c:pt idx="4">
                  <c:v>MALI</c:v>
                </c:pt>
                <c:pt idx="5">
                  <c:v>NIGER</c:v>
                </c:pt>
                <c:pt idx="6">
                  <c:v>SENEGAL</c:v>
                </c:pt>
                <c:pt idx="7">
                  <c:v>TOGO</c:v>
                </c:pt>
                <c:pt idx="8">
                  <c:v> BOAD</c:v>
                </c:pt>
                <c:pt idx="9">
                  <c:v>BIDC</c:v>
                </c:pt>
              </c:strCache>
            </c:strRef>
          </c:cat>
          <c:val>
            <c:numRef>
              <c:f>'REVISION PORT'!$B$42:$B$51</c:f>
              <c:numCache>
                <c:formatCode>0.0%</c:formatCode>
                <c:ptCount val="10"/>
                <c:pt idx="0">
                  <c:v>5.8667963306093203E-2</c:v>
                </c:pt>
                <c:pt idx="1">
                  <c:v>0.22100274630685107</c:v>
                </c:pt>
                <c:pt idx="2">
                  <c:v>0.20831647749541193</c:v>
                </c:pt>
                <c:pt idx="3">
                  <c:v>4.2342480778048926E-2</c:v>
                </c:pt>
                <c:pt idx="4">
                  <c:v>0.13840512471280456</c:v>
                </c:pt>
                <c:pt idx="5">
                  <c:v>8.8687965434450969E-2</c:v>
                </c:pt>
                <c:pt idx="6">
                  <c:v>9.3472569216201576E-2</c:v>
                </c:pt>
                <c:pt idx="7">
                  <c:v>0.14286728630035264</c:v>
                </c:pt>
                <c:pt idx="8">
                  <c:v>1.6371660469208953E-3</c:v>
                </c:pt>
                <c:pt idx="9">
                  <c:v>4.6002204028643152E-3</c:v>
                </c:pt>
              </c:numCache>
            </c:numRef>
          </c:val>
          <c:extLst>
            <c:ext xmlns:c16="http://schemas.microsoft.com/office/drawing/2014/chart" uri="{C3380CC4-5D6E-409C-BE32-E72D297353CC}">
              <c16:uniqueId val="{00000014-84F2-40CF-A699-2F4501F3CD44}"/>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92624-3B8A-4AC7-A261-18E549A1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3161</Words>
  <Characters>17391</Characters>
  <Application>Microsoft Office Word</Application>
  <DocSecurity>0</DocSecurity>
  <Lines>144</Lines>
  <Paragraphs>41</Paragraphs>
  <ScaleCrop>false</ScaleCrop>
  <HeadingPairs>
    <vt:vector size="2" baseType="variant">
      <vt:variant>
        <vt:lpstr>Titre</vt:lpstr>
      </vt:variant>
      <vt:variant>
        <vt:i4>1</vt:i4>
      </vt:variant>
    </vt:vector>
  </HeadingPairs>
  <TitlesOfParts>
    <vt:vector size="1" baseType="lpstr">
      <vt:lpstr>RAPPORT DE REVISION SEMESTRIELLE GLOBALE DU PORTEFEUILLE DE CORIS BANK INTERNATIONAL AU</vt:lpstr>
    </vt:vector>
  </TitlesOfParts>
  <Company>CORIS BANK</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REVISION SEMESTRIELLE GLOBALE DU PORTEFEUILLE DE CORIS BANK INTERNATIONAL AU</dc:title>
  <dc:subject/>
  <dc:creator>YSARE</dc:creator>
  <cp:keywords/>
  <dc:description/>
  <cp:lastModifiedBy>Prosper ZONGO</cp:lastModifiedBy>
  <cp:revision>18</cp:revision>
  <cp:lastPrinted>2021-02-24T10:13:00Z</cp:lastPrinted>
  <dcterms:created xsi:type="dcterms:W3CDTF">2021-08-14T10:44:00Z</dcterms:created>
  <dcterms:modified xsi:type="dcterms:W3CDTF">2021-08-14T16:30:00Z</dcterms:modified>
</cp:coreProperties>
</file>