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48.png" ContentType="image/png"/>
  <Override PartName="/word/media/rId42.png" ContentType="image/png"/>
  <Override PartName="/word/media/rId45.png" ContentType="image/png"/>
  <Override PartName="/word/media/rId38.png" ContentType="image/png"/>
  <Override PartName="/word/media/rId27.png" ContentType="image/png"/>
  <Override PartName="/word/media/rId55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Práctica</w:t>
      </w:r>
      <w:r>
        <w:t xml:space="preserve"> </w:t>
      </w:r>
      <w:r>
        <w:t xml:space="preserve">de</w:t>
      </w:r>
      <w:r>
        <w:t xml:space="preserve"> </w:t>
      </w:r>
      <w:r>
        <w:t xml:space="preserve">laboratorio:</w:t>
      </w:r>
      <w:r>
        <w:t xml:space="preserve"> </w:t>
      </w:r>
      <w:r>
        <w:t xml:space="preserve">Supervisión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supervisión</w:t>
      </w:r>
      <w:r>
        <w:t xml:space="preserve"> </w:t>
      </w:r>
      <w:r>
        <w:t xml:space="preserve">local</w:t>
      </w:r>
      <w:r>
        <w:t xml:space="preserve"> </w:t>
      </w:r>
      <w:r>
        <w:t xml:space="preserve">y</w:t>
      </w:r>
      <w:r>
        <w:t xml:space="preserve"> </w:t>
      </w:r>
      <w:r>
        <w:t xml:space="preserve">remota</w:t>
      </w:r>
      <w:r>
        <w:t xml:space="preserve"> </w:t>
      </w:r>
      <w:r>
        <w:t xml:space="preserve">de</w:t>
      </w:r>
      <w:r>
        <w:t xml:space="preserve"> </w:t>
      </w:r>
      <w:r>
        <w:t xml:space="preserve">una</w:t>
      </w:r>
      <w:r>
        <w:t xml:space="preserve"> </w:t>
      </w:r>
      <w:r>
        <w:t xml:space="preserve">incubadora</w:t>
      </w:r>
      <w:r>
        <w:t xml:space="preserve"> </w:t>
      </w:r>
      <w:r>
        <w:t xml:space="preserve">de</w:t>
      </w:r>
      <w:r>
        <w:t xml:space="preserve"> </w:t>
      </w:r>
      <w:r>
        <w:t xml:space="preserve">yogur</w:t>
      </w:r>
      <w:r>
        <w:t xml:space="preserve"> </w:t>
      </w:r>
      <w:r>
        <w:t xml:space="preserve">con</w:t>
      </w:r>
      <w:r>
        <w:t xml:space="preserve"> </w:t>
      </w:r>
      <w:r>
        <w:t xml:space="preserve">agitador</w:t>
      </w:r>
      <w:r>
        <w:t xml:space="preserve"> </w:t>
      </w:r>
      <w:r>
        <w:t xml:space="preserve">por</w:t>
      </w:r>
      <w:r>
        <w:t xml:space="preserve"> </w:t>
      </w:r>
      <w:r>
        <w:t xml:space="preserve">variador</w:t>
      </w:r>
      <w:r>
        <w:t xml:space="preserve"> </w:t>
      </w:r>
      <w:r>
        <w:t xml:space="preserve">de</w:t>
      </w:r>
      <w:r>
        <w:t xml:space="preserve"> </w:t>
      </w:r>
      <w:r>
        <w:t xml:space="preserve">velocidad</w:t>
      </w:r>
    </w:p>
    <w:p>
      <w:pPr>
        <w:pStyle w:val="Author"/>
      </w:pPr>
      <w:r>
        <w:t xml:space="preserve">Andrés</w:t>
      </w:r>
      <w:r>
        <w:t xml:space="preserve"> </w:t>
      </w:r>
      <w:r>
        <w:t xml:space="preserve">Felipe</w:t>
      </w:r>
      <w:r>
        <w:t xml:space="preserve"> </w:t>
      </w:r>
      <w:r>
        <w:t xml:space="preserve">Blanco</w:t>
      </w:r>
      <w:r>
        <w:t xml:space="preserve"> </w:t>
      </w:r>
      <w:r>
        <w:t xml:space="preserve">Romero</w:t>
      </w:r>
      <w:r>
        <w:t xml:space="preserve"> </w:t>
      </w:r>
      <w:r>
        <w:t xml:space="preserve">(7004096)</w:t>
      </w:r>
    </w:p>
    <w:p>
      <w:pPr>
        <w:pStyle w:val="Author"/>
      </w:pPr>
      <w:r>
        <w:t xml:space="preserve">[Integrante</w:t>
      </w:r>
      <w:r>
        <w:t xml:space="preserve"> </w:t>
      </w:r>
      <w:r>
        <w:t xml:space="preserve">2</w:t>
      </w:r>
      <w:r>
        <w:t xml:space="preserve"> </w:t>
      </w:r>
      <w:r>
        <w:t xml:space="preserve">(código)]</w:t>
      </w:r>
    </w:p>
    <w:p>
      <w:pPr>
        <w:pStyle w:val="Author"/>
      </w:pPr>
      <w:r>
        <w:t xml:space="preserve">[Integrante</w:t>
      </w:r>
      <w:r>
        <w:t xml:space="preserve"> </w:t>
      </w:r>
      <w:r>
        <w:t xml:space="preserve">3</w:t>
      </w:r>
      <w:r>
        <w:t xml:space="preserve"> </w:t>
      </w:r>
      <w:r>
        <w:t xml:space="preserve">(código)]</w:t>
      </w:r>
    </w:p>
    <w:p>
      <w:pPr>
        <w:pStyle w:val="Date"/>
      </w:pPr>
      <w:r>
        <w:t xml:space="preserve">Universidad</w:t>
      </w:r>
      <w:r>
        <w:t xml:space="preserve"> </w:t>
      </w:r>
      <w:r>
        <w:t xml:space="preserve">Militar</w:t>
      </w:r>
      <w:r>
        <w:t xml:space="preserve"> </w:t>
      </w:r>
      <w:r>
        <w:t xml:space="preserve">Nueva</w:t>
      </w:r>
      <w:r>
        <w:t xml:space="preserve"> </w:t>
      </w:r>
      <w:r>
        <w:t xml:space="preserve">Granada</w:t>
      </w:r>
      <w:r>
        <w:t xml:space="preserve"> </w:t>
      </w:r>
      <w:r>
        <w:t xml:space="preserve">·</w:t>
      </w:r>
      <w:r>
        <w:t xml:space="preserve"> </w:t>
      </w:r>
      <w:r>
        <w:t xml:space="preserve">Facultad</w:t>
      </w:r>
      <w:r>
        <w:t xml:space="preserve"> </w:t>
      </w:r>
      <w:r>
        <w:t xml:space="preserve">de</w:t>
      </w:r>
      <w:r>
        <w:t xml:space="preserve"> </w:t>
      </w:r>
      <w:r>
        <w:t xml:space="preserve">Ingeniería</w:t>
      </w:r>
      <w:r>
        <w:t xml:space="preserve"> </w:t>
      </w:r>
      <w:r>
        <w:t xml:space="preserve">·</w:t>
      </w:r>
      <w:r>
        <w:t xml:space="preserve"> </w:t>
      </w:r>
      <w:r>
        <w:t xml:space="preserve">Ingeniería</w:t>
      </w:r>
      <w:r>
        <w:t xml:space="preserve"> </w:t>
      </w:r>
      <w:r>
        <w:t xml:space="preserve">Mecatrónica</w:t>
      </w:r>
      <w:r>
        <w:t xml:space="preserve"> </w:t>
      </w:r>
      <w:r>
        <w:t xml:space="preserve">·</w:t>
      </w:r>
      <w:r>
        <w:t xml:space="preserve"> </w:t>
      </w:r>
      <w:r>
        <w:t xml:space="preserve">Automatización</w:t>
      </w:r>
      <w:r>
        <w:t xml:space="preserve"> </w:t>
      </w:r>
      <w:r>
        <w:t xml:space="preserve">Industrial</w:t>
      </w:r>
      <w:r>
        <w:t xml:space="preserve"> </w:t>
      </w:r>
      <w:r>
        <w:t xml:space="preserve">(IX</w:t>
      </w:r>
      <w:r>
        <w:t xml:space="preserve"> </w:t>
      </w:r>
      <w:r>
        <w:t xml:space="preserve">semestre)</w:t>
      </w:r>
      <w:r>
        <w:t xml:space="preserve"> </w:t>
      </w:r>
      <w:r>
        <w:t xml:space="preserve">·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Nota para el grupo (borre este recuadro antes de entregar).</w:t>
      </w:r>
      <w:r>
        <w:t xml:space="preserve"> </w:t>
      </w:r>
      <w:r>
        <w:t xml:space="preserve">Este informe está completo en lo que se</w:t>
      </w:r>
      <w:r>
        <w:t xml:space="preserve"> </w:t>
      </w:r>
      <w:r>
        <w:t xml:space="preserve">puede escribir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la práctica: proceso, diseño, programación, SCADA, bases de datos, respuesta</w:t>
      </w:r>
      <w:r>
        <w:t xml:space="preserve"> </w:t>
      </w:r>
      <w:r>
        <w:t xml:space="preserve">esperada (simulación) y respuestas a la discusión. Las casillas</w:t>
      </w:r>
      <w:r>
        <w:t xml:space="preserve"> </w:t>
      </w:r>
      <w:r>
        <w:rPr>
          <w:bCs/>
          <w:b/>
        </w:rPr>
        <w:t xml:space="preserve">[COMPLETAR]</w:t>
      </w:r>
      <w:r>
        <w:t xml:space="preserve"> </w:t>
      </w:r>
      <w:r>
        <w:t xml:space="preserve">son</w:t>
      </w:r>
      <w:r>
        <w:t xml:space="preserve"> </w:t>
      </w:r>
      <w:r>
        <w:rPr>
          <w:bCs/>
          <w:b/>
        </w:rPr>
        <w:t xml:space="preserve">mediciones del</w:t>
      </w:r>
      <w:r>
        <w:rPr>
          <w:bCs/>
          <w:b/>
        </w:rPr>
        <w:t xml:space="preserve"> </w:t>
      </w:r>
      <w:r>
        <w:rPr>
          <w:bCs/>
          <w:b/>
        </w:rPr>
        <w:t xml:space="preserve">laboratorio</w:t>
      </w:r>
      <w:r>
        <w:t xml:space="preserve"> </w:t>
      </w:r>
      <w:r>
        <w:t xml:space="preserve">y deben llenarse con sus datos (protocolo en</w:t>
      </w:r>
      <w:r>
        <w:t xml:space="preserve"> </w:t>
      </w:r>
      <w:r>
        <w:rPr>
          <w:rStyle w:val="VerbatimChar"/>
        </w:rPr>
        <w:t xml:space="preserve">docs/08_pruebas_y_puesta_en_marcha.md</w:t>
      </w:r>
      <w:r>
        <w:t xml:space="preserve">). La guía</w:t>
      </w:r>
      <w:r>
        <w:t xml:space="preserve"> </w:t>
      </w:r>
      <w:r>
        <w:t xml:space="preserve">exige que las conclusiones sean de</w:t>
      </w:r>
      <w:r>
        <w:t xml:space="preserve"> </w:t>
      </w:r>
      <w:r>
        <w:rPr>
          <w:bCs/>
          <w:b/>
        </w:rPr>
        <w:t xml:space="preserve">su</w:t>
      </w:r>
      <w:r>
        <w:t xml:space="preserve"> </w:t>
      </w:r>
      <w:r>
        <w:t xml:space="preserve">experimentación: las de la sección 8 son un borrador basado en el</w:t>
      </w:r>
      <w:r>
        <w:t xml:space="preserve"> </w:t>
      </w:r>
      <w:r>
        <w:t xml:space="preserve">diseño; ajústelas a lo que midan.</w:t>
      </w:r>
    </w:p>
    <w:bookmarkStart w:id="20" w:name="resumen"/>
    <w:p>
      <w:pPr>
        <w:pStyle w:val="Heading1"/>
      </w:pPr>
      <w:r>
        <w:t xml:space="preserve">Resumen</w:t>
      </w:r>
    </w:p>
    <w:p>
      <w:pPr>
        <w:pStyle w:val="FirstParagraph"/>
      </w:pPr>
      <w:r>
        <w:t xml:space="preserve">Se diseñó e implementó un sistema SCADA para una incubadora de yogur a escala de laboratorio. La planta es una</w:t>
      </w:r>
      <w:r>
        <w:t xml:space="preserve"> </w:t>
      </w:r>
      <w:r>
        <w:t xml:space="preserve">cámara impresa en PETG con un calefactor de 19 W, una RTD Pt100 acondicionada a 4-20 mA y un agitador movido</w:t>
      </w:r>
      <w:r>
        <w:t xml:space="preserve"> </w:t>
      </w:r>
      <w:r>
        <w:t xml:space="preserve">por un SINAMICS G120 por PROFINET. Un PLC S7-1500 ejecuta un control ON-OFF con histéresis de la temperatura,</w:t>
      </w:r>
      <w:r>
        <w:t xml:space="preserve"> </w:t>
      </w:r>
      <w:r>
        <w:t xml:space="preserve">una máquina de estados con seguridades y una ley de velocidad que hace girar el agitador rápido lejos de la</w:t>
      </w:r>
      <w:r>
        <w:t xml:space="preserve"> </w:t>
      </w:r>
      <w:r>
        <w:t xml:space="preserve">consigna, lo frena al acercarse y lo detiene al alcanzarla. El PLC también calcula producción, costos y KPI.</w:t>
      </w:r>
      <w:r>
        <w:t xml:space="preserve"> </w:t>
      </w:r>
      <w:r>
        <w:t xml:space="preserve">La supervisión tiene tres paneles en WinCC, uno por rol (operador, supervisor y gerencia), diseñados con</w:t>
      </w:r>
      <w:r>
        <w:t xml:space="preserve"> </w:t>
      </w:r>
      <w:r>
        <w:t xml:space="preserve">ISA-101. Un gateway en Python registra los datos en una base de datos local (SQLite) y en una base de datos en</w:t>
      </w:r>
      <w:r>
        <w:t xml:space="preserve"> </w:t>
      </w:r>
      <w:r>
        <w:t xml:space="preserve">la nube (PostgreSQL) y genera reportes PDF bajo demanda desde el HMI. Según el modelo térmico, la planta</w:t>
      </w:r>
      <w:r>
        <w:t xml:space="preserve"> </w:t>
      </w:r>
      <w:r>
        <w:t xml:space="preserve">alcanza 43 °C en unos 15 min y se mantiene en una banda de ±1 °C. Los resultados medidos se reportan en la sección 6.</w:t>
      </w:r>
    </w:p>
    <w:p>
      <w:pPr>
        <w:pStyle w:val="BodyText"/>
      </w:pPr>
      <w:r>
        <w:rPr>
          <w:bCs/>
          <w:b/>
        </w:rPr>
        <w:t xml:space="preserve">Palabras clave:</w:t>
      </w:r>
      <w:r>
        <w:t xml:space="preserve"> </w:t>
      </w:r>
      <w:r>
        <w:t xml:space="preserve">SCADA, HMI, ISA-101, control ON-OFF, PROFINET, SINAMICS G120, RTD, 4-20 mA, base de datos, OEE.</w:t>
      </w:r>
    </w:p>
    <w:bookmarkEnd w:id="20"/>
    <w:bookmarkStart w:id="21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La supervisión de procesos permite monitorear, controlar y analizar variables en tiempo real, tanto local</w:t>
      </w:r>
      <w:r>
        <w:t xml:space="preserve"> </w:t>
      </w:r>
      <w:r>
        <w:t xml:space="preserve">como remotamente. Los sistemas HMI/SCADA integran PLC, variadores y redes industriales, y llevan la información</w:t>
      </w:r>
      <w:r>
        <w:t xml:space="preserve"> </w:t>
      </w:r>
      <w:r>
        <w:t xml:space="preserve">del proceso a cada nivel de la organización: el operador necesita mandos claros, el supervisor tendencias y</w:t>
      </w:r>
      <w:r>
        <w:t xml:space="preserve"> </w:t>
      </w:r>
      <w:r>
        <w:t xml:space="preserve">reportes, y la gerencia indicadores económicos. En esta práctica una línea de producción</w:t>
      </w:r>
      <w:r>
        <w:t xml:space="preserve"> </w:t>
      </w:r>
      <w:r>
        <w:t xml:space="preserve">“</w:t>
      </w:r>
      <w:r>
        <w:t xml:space="preserve">contrata</w:t>
      </w:r>
      <w:r>
        <w:t xml:space="preserve">”</w:t>
      </w:r>
      <w:r>
        <w:t xml:space="preserve"> </w:t>
      </w:r>
      <w:r>
        <w:t xml:space="preserve">al grupo</w:t>
      </w:r>
      <w:r>
        <w:t xml:space="preserve"> </w:t>
      </w:r>
      <w:r>
        <w:t xml:space="preserve">para desarrollar los paneles de supervisión de su proceso, integrando el control de una variable física, el</w:t>
      </w:r>
      <w:r>
        <w:t xml:space="preserve"> </w:t>
      </w:r>
      <w:r>
        <w:t xml:space="preserve">manejo de un variador por PROFINET, bases de datos local y en la nube, y reportes bajo demanda.</w:t>
      </w:r>
    </w:p>
    <w:bookmarkEnd w:id="21"/>
    <w:bookmarkStart w:id="22" w:name="objetivos"/>
    <w:p>
      <w:pPr>
        <w:pStyle w:val="Heading1"/>
      </w:pPr>
      <w:r>
        <w:t xml:space="preserve">2. Objetivos</w:t>
      </w:r>
    </w:p>
    <w:p>
      <w:pPr>
        <w:pStyle w:val="FirstParagraph"/>
      </w:pPr>
      <w:r>
        <w:rPr>
          <w:bCs/>
          <w:b/>
        </w:rPr>
        <w:t xml:space="preserve">General.</w:t>
      </w:r>
      <w:r>
        <w:t xml:space="preserve"> </w:t>
      </w:r>
      <w:r>
        <w:t xml:space="preserve">Diseñar e implementar un sistema de supervisión local y remota para un proceso industrial, con</w:t>
      </w:r>
      <w:r>
        <w:t xml:space="preserve"> </w:t>
      </w:r>
      <w:r>
        <w:t xml:space="preserve">paneles asociados a cada rol, integrando el control de variables, la programación del PLC, la visualización</w:t>
      </w:r>
      <w:r>
        <w:t xml:space="preserve"> </w:t>
      </w:r>
      <w:r>
        <w:t xml:space="preserve">HMI/SCADA y la comunicación con plataformas externas, para una operación segura y eficiente.</w:t>
      </w:r>
    </w:p>
    <w:p>
      <w:pPr>
        <w:pStyle w:val="BodyText"/>
      </w:pPr>
      <w:r>
        <w:rPr>
          <w:bCs/>
          <w:b/>
        </w:rPr>
        <w:t xml:space="preserve">Específicos.</w:t>
      </w:r>
    </w:p>
    <w:p>
      <w:pPr>
        <w:numPr>
          <w:ilvl w:val="0"/>
          <w:numId w:val="1001"/>
        </w:numPr>
        <w:pStyle w:val="Compact"/>
      </w:pPr>
      <w:r>
        <w:t xml:space="preserve">Implementar un control ON-OFF de una variable de proceso en una planta física (temperatura) y en una emulada (nivel, Factory IO).</w:t>
      </w:r>
    </w:p>
    <w:p>
      <w:pPr>
        <w:numPr>
          <w:ilvl w:val="0"/>
          <w:numId w:val="1001"/>
        </w:numPr>
        <w:pStyle w:val="Compact"/>
      </w:pPr>
      <w:r>
        <w:t xml:space="preserve">Diseñar pantallas apropiadas para cada rol del proceso (operador, supervisor y gerencia).</w:t>
      </w:r>
    </w:p>
    <w:p>
      <w:pPr>
        <w:numPr>
          <w:ilvl w:val="0"/>
          <w:numId w:val="1001"/>
        </w:numPr>
        <w:pStyle w:val="Compact"/>
      </w:pPr>
      <w:r>
        <w:t xml:space="preserve">Integrar sensores y actuadores de campo, garantizando la correcta lectura y escritura de variables desde el PLC.</w:t>
      </w:r>
    </w:p>
    <w:bookmarkEnd w:id="22"/>
    <w:bookmarkStart w:id="23" w:name="marco-teórico"/>
    <w:p>
      <w:pPr>
        <w:pStyle w:val="Heading1"/>
      </w:pPr>
      <w:r>
        <w:t xml:space="preserve">3. Marco teórico</w:t>
      </w:r>
    </w:p>
    <w:p>
      <w:pPr>
        <w:pStyle w:val="FirstParagraph"/>
      </w:pPr>
      <w:r>
        <w:rPr>
          <w:bCs/>
          <w:b/>
        </w:rPr>
        <w:t xml:space="preserve">Supervisión local y remota.</w:t>
      </w:r>
      <w:r>
        <w:t xml:space="preserve"> </w:t>
      </w:r>
      <w:r>
        <w:t xml:space="preserve">La supervisión local se hace desde la estación de operación conectada a la red</w:t>
      </w:r>
      <w:r>
        <w:t xml:space="preserve"> </w:t>
      </w:r>
      <w:r>
        <w:t xml:space="preserve">de control (HMI/SCADA con tiempos de respuesta de cientos de milisegundos). La remota lleva los datos fuera de la</w:t>
      </w:r>
      <w:r>
        <w:t xml:space="preserve"> </w:t>
      </w:r>
      <w:r>
        <w:t xml:space="preserve">planta (nube, web) para análisis, reportes y gestión, con latencias de segundos y dependencia de Internet [1], [4].</w:t>
      </w:r>
    </w:p>
    <w:p>
      <w:pPr>
        <w:pStyle w:val="BodyText"/>
      </w:pPr>
      <w:r>
        <w:rPr>
          <w:bCs/>
          <w:b/>
        </w:rPr>
        <w:t xml:space="preserve">HMI de alto rendimiento (ISA-101).</w:t>
      </w:r>
      <w:r>
        <w:t xml:space="preserve"> </w:t>
      </w:r>
      <w:r>
        <w:t xml:space="preserve">Recomienda fondos neutros, color reservado para condiciones anormales,</w:t>
      </w:r>
      <w:r>
        <w:t xml:space="preserve"> </w:t>
      </w:r>
      <w:r>
        <w:t xml:space="preserve">magnitudes analógicas con su rango normal y jerarquía de pantallas por rol, para que el operador detecte las</w:t>
      </w:r>
      <w:r>
        <w:t xml:space="preserve"> </w:t>
      </w:r>
      <w:r>
        <w:t xml:space="preserve">desviaciones de un vistazo [5]. La gestión de alarmas sigue ISA-18.2: prioridades, retardos para evitar</w:t>
      </w:r>
      <w:r>
        <w:t xml:space="preserve"> </w:t>
      </w:r>
      <w:r>
        <w:t xml:space="preserve">alarmas molestas y acuse [6]. Los colores de botones y pilotos siguen IEC 60073 e IEC 60204-1 [7], [8].</w:t>
      </w:r>
    </w:p>
    <w:p>
      <w:pPr>
        <w:pStyle w:val="BodyText"/>
      </w:pPr>
      <w:r>
        <w:rPr>
          <w:bCs/>
          <w:b/>
        </w:rPr>
        <w:t xml:space="preserve">Control ON-OFF con histéresis.</w:t>
      </w:r>
      <w:r>
        <w:t xml:space="preserve"> </w:t>
      </w:r>
      <w:r>
        <w:t xml:space="preserve">El actuador conmuta entre dos estados cuando el error cruza ±H/2. La histéresis</w:t>
      </w:r>
      <w:r>
        <w:t xml:space="preserve"> </w:t>
      </w:r>
      <w:r>
        <w:t xml:space="preserve">evita la conmutación por ruido a costa de una oscilación permanente, que en plantas con inercia y retardo</w:t>
      </w:r>
      <w:r>
        <w:t xml:space="preserve"> </w:t>
      </w:r>
      <w:r>
        <w:t xml:space="preserve">supera el ancho de banda H. Es adecuado cuando el actuador es todo-nada y la tolerancia del proceso admite la</w:t>
      </w:r>
      <w:r>
        <w:t xml:space="preserve"> </w:t>
      </w:r>
      <w:r>
        <w:t xml:space="preserve">oscilación; un PID con salida PWM o analógica reduce la oscilación a cambio de sintonía y de un actuador modulante.</w:t>
      </w:r>
    </w:p>
    <w:p>
      <w:pPr>
        <w:pStyle w:val="BodyText"/>
      </w:pPr>
      <w:r>
        <w:rPr>
          <w:bCs/>
          <w:b/>
        </w:rPr>
        <w:t xml:space="preserve">RTD y lazo 4-20 mA.</w:t>
      </w:r>
      <w:r>
        <w:t xml:space="preserve"> </w:t>
      </w:r>
      <w:r>
        <w:t xml:space="preserve">La Pt100 varía su resistencia según Callendar–Van Dusen (100 Ω a 0 °C, 138,51 Ω a 100 °C).</w:t>
      </w:r>
      <w:r>
        <w:t xml:space="preserve"> </w:t>
      </w:r>
      <w:r>
        <w:t xml:space="preserve">Un transmisor de 2 hilos (p. ej. XTR105 [12]) excita la RTD, la linealiza y modula la corriente del lazo entre 4 y</w:t>
      </w:r>
      <w:r>
        <w:t xml:space="preserve"> </w:t>
      </w:r>
      <w:r>
        <w:t xml:space="preserve">20 mA. La corriente no se degrada con el cable, y los valores fuera de 3,6–21 mA indican falla (NAMUR NE43 [13]).</w:t>
      </w:r>
    </w:p>
    <w:p>
      <w:pPr>
        <w:pStyle w:val="BodyText"/>
      </w:pPr>
      <w:r>
        <w:rPr>
          <w:bCs/>
          <w:b/>
        </w:rPr>
        <w:t xml:space="preserve">PROFINET y PROFIdrive.</w:t>
      </w:r>
      <w:r>
        <w:t xml:space="preserve"> </w:t>
      </w:r>
      <w:r>
        <w:t xml:space="preserve">El G120 intercambia datos cíclicos con el PLC mediante telegramas. El telegrama</w:t>
      </w:r>
      <w:r>
        <w:t xml:space="preserve"> </w:t>
      </w:r>
      <w:r>
        <w:t xml:space="preserve">estándar 1 tiene dos palabras de salida (STW1, palabra de mando; NSOLL_A, consigna, 16#4000 = 100 % de p2000) y</w:t>
      </w:r>
      <w:r>
        <w:t xml:space="preserve"> </w:t>
      </w:r>
      <w:r>
        <w:t xml:space="preserve">dos de entrada (ZSW1, estado; NIST_A, velocidad real) [10], [11].</w:t>
      </w:r>
    </w:p>
    <w:p>
      <w:pPr>
        <w:pStyle w:val="BodyText"/>
      </w:pPr>
      <w:r>
        <w:rPr>
          <w:bCs/>
          <w:b/>
        </w:rPr>
        <w:t xml:space="preserve">Bases de datos y nube.</w:t>
      </w:r>
      <w:r>
        <w:t xml:space="preserve"> </w:t>
      </w:r>
      <w:r>
        <w:t xml:space="preserve">Una base de datos relacional guarda los datos en tablas consultables con SQL y garantiza</w:t>
      </w:r>
      <w:r>
        <w:t xml:space="preserve"> </w:t>
      </w:r>
      <w:r>
        <w:t xml:space="preserve">la persistencia. Plataformas como Ubidots o Node-RED son herramientas de visualización e integración, no motores</w:t>
      </w:r>
      <w:r>
        <w:t xml:space="preserve"> </w:t>
      </w:r>
      <w:r>
        <w:t xml:space="preserve">de bases de datos. Un patrón robusto es</w:t>
      </w:r>
      <w:r>
        <w:t xml:space="preserve"> </w:t>
      </w:r>
      <w:r>
        <w:rPr>
          <w:iCs/>
          <w:i/>
        </w:rPr>
        <w:t xml:space="preserve">store-and-forward</w:t>
      </w:r>
      <w:r>
        <w:t xml:space="preserve">: escribir primero en local y sincronizar con la nube.</w:t>
      </w:r>
    </w:p>
    <w:p>
      <w:pPr>
        <w:pStyle w:val="BodyText"/>
      </w:pPr>
      <w:r>
        <w:rPr>
          <w:bCs/>
          <w:b/>
        </w:rPr>
        <w:t xml:space="preserve">OEE.</w:t>
      </w:r>
      <w:r>
        <w:t xml:space="preserve"> </w:t>
      </w:r>
      <w:r>
        <w:t xml:space="preserve">Eficacia global del equipo = Disponibilidad × Rendimiento × Calidad [14].</w:t>
      </w:r>
    </w:p>
    <w:bookmarkEnd w:id="23"/>
    <w:bookmarkStart w:id="30" w:name="descripción-del-proceso-propuesto"/>
    <w:p>
      <w:pPr>
        <w:pStyle w:val="Heading1"/>
      </w:pPr>
      <w:r>
        <w:t xml:space="preserve">4. Descripción del proceso propuesto</w:t>
      </w:r>
    </w:p>
    <w:p>
      <w:pPr>
        <w:pStyle w:val="FirstParagraph"/>
      </w:pPr>
      <w:r>
        <w:t xml:space="preserve">Línea de yogur batido. La etapa supervisada es la</w:t>
      </w:r>
      <w:r>
        <w:t xml:space="preserve"> </w:t>
      </w:r>
      <w:r>
        <w:rPr>
          <w:bCs/>
          <w:b/>
        </w:rPr>
        <w:t xml:space="preserve">incubación</w:t>
      </w:r>
      <w:r>
        <w:t xml:space="preserve">: la leche inoculada debe mantenerse a 42–45 °C</w:t>
      </w:r>
      <w:r>
        <w:t xml:space="preserve"> </w:t>
      </w:r>
      <w:r>
        <w:t xml:space="preserve">durante la fermentación. Mientras se calienta, un agitador homogeniza la temperatura; durante la fermentación</w:t>
      </w:r>
      <w:r>
        <w:t xml:space="preserve"> </w:t>
      </w:r>
      <w:r>
        <w:t xml:space="preserve">el producto debe quedar</w:t>
      </w:r>
      <w:r>
        <w:t xml:space="preserve"> </w:t>
      </w:r>
      <w:r>
        <w:rPr>
          <w:bCs/>
          <w:b/>
        </w:rPr>
        <w:t xml:space="preserve">en reposo</w:t>
      </w:r>
      <w:r>
        <w:t xml:space="preserve">, porque agitarlo rompe el gel. Por eso el agitador gira rápido cuando la</w:t>
      </w:r>
      <w:r>
        <w:t xml:space="preserve"> </w:t>
      </w:r>
      <w:r>
        <w:t xml:space="preserve">temperatura está lejos de la consigna, frena al acercarse y se detiene al alcanzarla, tal como pide la guía.</w:t>
      </w:r>
      <w:r>
        <w:t xml:space="preserve"> </w:t>
      </w:r>
      <w:r>
        <w:t xml:space="preserve">Cada lote (5 min en la demostración, 4–6 h en la realidad) produce 100 vasos de 200 mL. Un lote que pasa más de</w:t>
      </w:r>
      <w:r>
        <w:t xml:space="preserve"> </w:t>
      </w:r>
      <w:r>
        <w:t xml:space="preserve">60 s fuera de ±2 °C durante la fermentación se rechaza.</w:t>
      </w:r>
    </w:p>
    <w:p>
      <w:pPr>
        <w:pStyle w:val="CaptionedFigure"/>
      </w:pPr>
      <w:r>
        <w:drawing>
          <wp:inline>
            <wp:extent cx="5334000" cy="2963778"/>
            <wp:effectExtent b="0" l="0" r="0" t="0"/>
            <wp:docPr descr="Arquitectura del sistema." title="" id="25" name="Picture"/>
            <a:graphic>
              <a:graphicData uri="http://schemas.openxmlformats.org/drawingml/2006/picture">
                <pic:pic>
                  <pic:nvPicPr>
                    <pic:cNvPr descr="../docs/img/arquitectura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del sistema.</w:t>
      </w:r>
    </w:p>
    <w:p>
      <w:pPr>
        <w:pStyle w:val="CaptionedFigure"/>
      </w:pPr>
      <w:r>
        <w:drawing>
          <wp:inline>
            <wp:extent cx="5334000" cy="2852663"/>
            <wp:effectExtent b="0" l="0" r="0" t="0"/>
            <wp:docPr descr="P&amp;ID simplificado (ISA-5.1)." title="" id="28" name="Picture"/>
            <a:graphic>
              <a:graphicData uri="http://schemas.openxmlformats.org/drawingml/2006/picture">
                <pic:pic>
                  <pic:nvPicPr>
                    <pic:cNvPr descr="../docs/img/pi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P&amp;ID simplificado (ISA-5.1).</w:t>
      </w:r>
    </w:p>
    <w:bookmarkEnd w:id="30"/>
    <w:bookmarkStart w:id="54" w:name="diseño-e-implementación"/>
    <w:p>
      <w:pPr>
        <w:pStyle w:val="Heading1"/>
      </w:pPr>
      <w:r>
        <w:t xml:space="preserve">5. Diseño e implementación</w:t>
      </w:r>
    </w:p>
    <w:bookmarkStart w:id="37" w:name="planta-y-hardware"/>
    <w:p>
      <w:pPr>
        <w:pStyle w:val="Heading2"/>
      </w:pPr>
      <w:r>
        <w:t xml:space="preserve">5.1 Planta y hardware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Cerramiento</w:t>
      </w:r>
      <w:r>
        <w:t xml:space="preserve"> </w:t>
      </w:r>
      <w:r>
        <w:t xml:space="preserve">de diseño propio, impreso en PETG (160 × 120 × 120 mm interior), con bandeja para los vasos,</w:t>
      </w:r>
      <w:r>
        <w:t xml:space="preserve"> </w:t>
      </w:r>
      <w:r>
        <w:t xml:space="preserve">manguito para la RTD, soporte del ventilador, prensaestopas y alojamiento del termostato. No se usa PLA porque</w:t>
      </w:r>
      <w:r>
        <w:t xml:space="preserve"> </w:t>
      </w:r>
      <w:r>
        <w:t xml:space="preserve">se ablanda cerca de la temperatura de trabajo.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Calefactor:</w:t>
      </w:r>
      <w:r>
        <w:t xml:space="preserve"> </w:t>
      </w:r>
      <w:r>
        <w:t xml:space="preserve">2 resistencias RH25 de 15 Ω en serie sobre una placa de aluminio (19,2 W, 0,8 A a 24 V de la</w:t>
      </w:r>
      <w:r>
        <w:t xml:space="preserve"> </w:t>
      </w:r>
      <w:r>
        <w:t xml:space="preserve">fuente del banco), conmutadas con un MOSFET IRLZ44N desde</w:t>
      </w:r>
      <w:r>
        <w:t xml:space="preserve"> </w:t>
      </w:r>
      <w:r>
        <w:rPr>
          <w:rStyle w:val="VerbatimChar"/>
        </w:rPr>
        <w:t xml:space="preserve">DQ_Calefactor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Medición:</w:t>
      </w:r>
      <w:r>
        <w:t xml:space="preserve"> </w:t>
      </w:r>
      <w:r>
        <w:t xml:space="preserve">Pt100 del laboratorio → transmisor 4-20 mA → R de carga de 250 Ω → 1–5 V en la entrada analógica.</w:t>
      </w:r>
      <w:r>
        <w:t xml:space="preserve"> </w:t>
      </w:r>
      <w:r>
        <w:t xml:space="preserve">Así se respeta el máximo de 10 V de las entradas: aunque el transmisor sature, el zener de 6,2 V limita.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Seguridad cableada:</w:t>
      </w:r>
      <w:r>
        <w:t xml:space="preserve"> </w:t>
      </w:r>
      <w:r>
        <w:t xml:space="preserve">hongo de paro (contacto NC en serie con la potencia y otro a una DI) y termostato KSD301</w:t>
      </w:r>
      <w:r>
        <w:t xml:space="preserve"> </w:t>
      </w:r>
      <w:r>
        <w:t xml:space="preserve">de 60 °C en serie. El calefactor no puede encenderse con el paro accionado ni con sobretemperatura, aunque el PLC falle.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Tarjeta impresa de borneras</w:t>
      </w:r>
      <w:r>
        <w:t xml:space="preserve"> </w:t>
      </w:r>
      <w:r>
        <w:t xml:space="preserve">con fusibles, protección y LED indicador.</w:t>
      </w:r>
    </w:p>
    <w:p>
      <w:pPr>
        <w:pStyle w:val="CaptionedFigure"/>
      </w:pPr>
      <w:r>
        <w:drawing>
          <wp:inline>
            <wp:extent cx="5334000" cy="2010820"/>
            <wp:effectExtent b="0" l="0" r="0" t="0"/>
            <wp:docPr descr="Lazo 4-20 mA de la RTD." title="" id="32" name="Picture"/>
            <a:graphic>
              <a:graphicData uri="http://schemas.openxmlformats.org/drawingml/2006/picture">
                <pic:pic>
                  <pic:nvPicPr>
                    <pic:cNvPr descr="../hardware/pcb/esquema_lazo_4_20mA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0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Lazo 4-20 mA de la RTD.</w:t>
      </w:r>
    </w:p>
    <w:p>
      <w:pPr>
        <w:pStyle w:val="CaptionedFigure"/>
      </w:pPr>
      <w:r>
        <w:drawing>
          <wp:inline>
            <wp:extent cx="5334000" cy="2942116"/>
            <wp:effectExtent b="0" l="0" r="0" t="0"/>
            <wp:docPr descr="Calefactor, cadena de seguridad y ventilador." title="" id="35" name="Picture"/>
            <a:graphic>
              <a:graphicData uri="http://schemas.openxmlformats.org/drawingml/2006/picture">
                <pic:pic>
                  <pic:nvPicPr>
                    <pic:cNvPr descr="../hardware/pcb/esquema_potenci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2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Calefactor, cadena de seguridad y ventilador.</w:t>
      </w:r>
    </w:p>
    <w:bookmarkEnd w:id="37"/>
    <w:bookmarkStart w:id="41" w:name="programa-del-plc"/>
    <w:p>
      <w:pPr>
        <w:pStyle w:val="Heading2"/>
      </w:pPr>
      <w:r>
        <w:t xml:space="preserve">5.2 Programa del PLC</w:t>
      </w:r>
    </w:p>
    <w:p>
      <w:pPr>
        <w:pStyle w:val="FirstParagraph"/>
      </w:pPr>
      <w:r>
        <w:t xml:space="preserve">Lenguaje: SCL (fuentes externas importables). Bloques:</w:t>
      </w:r>
      <w:r>
        <w:t xml:space="preserve"> </w:t>
      </w:r>
      <w:r>
        <w:rPr>
          <w:rStyle w:val="VerbatimChar"/>
        </w:rPr>
        <w:t xml:space="preserve">FC_EscalarRTD</w:t>
      </w:r>
      <w:r>
        <w:t xml:space="preserve"> </w:t>
      </w:r>
      <w:r>
        <w:t xml:space="preserve">(4-20 mA → °C y falla NE43),</w:t>
      </w:r>
      <w:r>
        <w:t xml:space="preserve"> </w:t>
      </w:r>
      <w:r>
        <w:rPr>
          <w:rStyle w:val="VerbatimChar"/>
        </w:rPr>
        <w:t xml:space="preserve">FB_OnOffHist</w:t>
      </w:r>
      <w:r>
        <w:t xml:space="preserve"> </w:t>
      </w:r>
      <w:r>
        <w:t xml:space="preserve">(ON-OFF genérico, también usado en el nivel emulado),</w:t>
      </w:r>
      <w:r>
        <w:t xml:space="preserve"> </w:t>
      </w:r>
      <w:r>
        <w:rPr>
          <w:rStyle w:val="VerbatimChar"/>
        </w:rPr>
        <w:t xml:space="preserve">FB_VelocidadVariador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FB_G120_Telegrama1</w:t>
      </w:r>
      <w:r>
        <w:t xml:space="preserve">,</w:t>
      </w:r>
      <w:r>
        <w:t xml:space="preserve"> </w:t>
      </w:r>
      <w:r>
        <w:rPr>
          <w:rStyle w:val="VerbatimChar"/>
        </w:rPr>
        <w:t xml:space="preserve">FB_Produccion</w:t>
      </w:r>
      <w:r>
        <w:t xml:space="preserve"> </w:t>
      </w:r>
      <w:r>
        <w:t xml:space="preserve">(lotes, materiales, ventas, tiempos muertos, KPI),</w:t>
      </w:r>
      <w:r>
        <w:t xml:space="preserve"> </w:t>
      </w:r>
      <w:r>
        <w:rPr>
          <w:rStyle w:val="VerbatimChar"/>
        </w:rPr>
        <w:t xml:space="preserve">FB_SimPlanta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FB_SimVariador</w:t>
      </w:r>
      <w:r>
        <w:t xml:space="preserve"> </w:t>
      </w:r>
      <w:r>
        <w:t xml:space="preserve">(gemelo para</w:t>
      </w:r>
      <w:r>
        <w:t xml:space="preserve"> </w:t>
      </w:r>
      <w:r>
        <w:t xml:space="preserve">PLCSIM) y</w:t>
      </w:r>
      <w:r>
        <w:t xml:space="preserve"> </w:t>
      </w:r>
      <w:r>
        <w:rPr>
          <w:rStyle w:val="VerbatimChar"/>
        </w:rPr>
        <w:t xml:space="preserve">FB_Planta</w:t>
      </w:r>
      <w:r>
        <w:t xml:space="preserve"> </w:t>
      </w:r>
      <w:r>
        <w:t xml:space="preserve">(máquina de estados, alarmas e interfaz con el HMI y el gateway).</w:t>
      </w:r>
    </w:p>
    <w:p>
      <w:pPr>
        <w:pStyle w:val="CaptionedFigure"/>
      </w:pPr>
      <w:r>
        <w:drawing>
          <wp:inline>
            <wp:extent cx="5334000" cy="3530824"/>
            <wp:effectExtent b="0" l="0" r="0" t="0"/>
            <wp:docPr descr="Máquina de estados." title="" id="39" name="Picture"/>
            <a:graphic>
              <a:graphicData uri="http://schemas.openxmlformats.org/drawingml/2006/picture">
                <pic:pic>
                  <pic:nvPicPr>
                    <pic:cNvPr descr="../docs/img/maquina_estado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0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Máquina de estados.</w:t>
      </w:r>
    </w:p>
    <w:p>
      <w:pPr>
        <w:pStyle w:val="BodyText"/>
      </w:pPr>
      <w:r>
        <w:rPr>
          <w:bCs/>
          <w:b/>
        </w:rPr>
        <w:t xml:space="preserve">Ley de velocidad.</w:t>
      </w:r>
      <w:r>
        <w:t xml:space="preserve"> </w:t>
      </w:r>
      <w:r>
        <w:t xml:space="preserve">Con e = SP − PV, Vmax = 100 %, Vmin = 20 %, Emax = 15 °C y Tc = 0,5 °C: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 de velocidad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|e| ≥ Emax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= Vmax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 &lt; |e| &lt; Emax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= Vmin + (Vmax − Vmin) · |e| / Emax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|e| ≤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= 0 y queda enclavado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enclavado y |e| &gt; 4 °C (banda de reinicio)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libera y vuelve a girar según las filas anteriores</w:t>
            </w:r>
          </w:p>
        </w:tc>
      </w:tr>
    </w:tbl>
    <w:p>
      <w:pPr>
        <w:pStyle w:val="BodyText"/>
      </w:pPr>
      <w:r>
        <w:t xml:space="preserve">Gracias al enclavamiento el agitador no arranca y para en cada ciclo del ON-OFF. El sentido lo elige el</w:t>
      </w:r>
      <w:r>
        <w:t xml:space="preserve"> </w:t>
      </w:r>
      <w:r>
        <w:t xml:space="preserve">operador y se aplica con el signo de NSOLL_A.</w:t>
      </w:r>
    </w:p>
    <w:p>
      <w:pPr>
        <w:pStyle w:val="BodyText"/>
      </w:pPr>
      <w:r>
        <w:rPr>
          <w:bCs/>
          <w:b/>
        </w:rPr>
        <w:t xml:space="preserve">Seguridades:</w:t>
      </w:r>
      <w:r>
        <w:t xml:space="preserve"> </w:t>
      </w:r>
      <w:r>
        <w:t xml:space="preserve">paro de emergencia (HMI enclavado + hongo físico), falla del sensor, temperatura ≥ 60 °C y</w:t>
      </w:r>
      <w:r>
        <w:t xml:space="preserve"> </w:t>
      </w:r>
      <w:r>
        <w:t xml:space="preserve">cadena de seguridad abierta llevan a estados seguros (calefactor OFF, variador OFF1) que se salen con Rearme.</w:t>
      </w:r>
      <w:r>
        <w:t xml:space="preserve"> </w:t>
      </w:r>
      <w:r>
        <w:t xml:space="preserve">Hay 12 alarmas con prioridades y retardos de 10 s en las de desviación (ISA-18.2).</w:t>
      </w:r>
    </w:p>
    <w:bookmarkEnd w:id="41"/>
    <w:bookmarkStart w:id="51" w:name="paneles-scada"/>
    <w:p>
      <w:pPr>
        <w:pStyle w:val="Heading2"/>
      </w:pPr>
      <w:r>
        <w:t xml:space="preserve">5.3 Paneles SCADA</w:t>
      </w:r>
    </w:p>
    <w:p>
      <w:pPr>
        <w:pStyle w:val="FirstParagraph"/>
      </w:pPr>
      <w:r>
        <w:t xml:space="preserve">Tres pantallas en WinCC con usuarios por rol. Cumplen lo pedido en la guía: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 de la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Operador: SP, arranque/parada/sentido del variador, indicadores de la variable y del variador, start/stop/paro, animaciones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con banda normal y marcador de SP, campo de SP con ±, sinóptico animado, rpm, referencia, sentido, estados del variador, botones IEC 60204-1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Supervisor: monitoreo, estado del proceso, reporte en el PC, BD local y en la nube con PV, velocidad y sentido, ≥ 2 indicadores, reporte en la nube, start/stop/paro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Tendencia PV/SP/rpm, 6 indicadores (error, ciclo de trabajo, % en tolerancia, señal mA, energía, avance del lote), estado de las BD, botones de reporte con handshake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Gerencia: material y costo, inventario, ventas, ingresos, tiempos muertos y costo, ≥ 3 KPI, reporte en la nube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Tablas de materiales, producción, ventas y tiempos muertos; OEE (D, R, C), margen, costo unitario, energía específica; botón de reporte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 de colores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ISA-101 en pantallas, IEC 60073 en pilotos, IEC 60204-1 en botones</w:t>
            </w:r>
          </w:p>
        </w:tc>
      </w:tr>
    </w:tbl>
    <w:p>
      <w:pPr>
        <w:pStyle w:val="CaptionedFigure"/>
      </w:pPr>
      <w:r>
        <w:drawing>
          <wp:inline>
            <wp:extent cx="5334000" cy="3333750"/>
            <wp:effectExtent b="0" l="0" r="0" t="0"/>
            <wp:docPr descr="Panel de operador." title="" id="43" name="Picture"/>
            <a:graphic>
              <a:graphicData uri="http://schemas.openxmlformats.org/drawingml/2006/picture">
                <pic:pic>
                  <pic:nvPicPr>
                    <pic:cNvPr descr="../docs/img/hmi_operado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 de operador.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anel de supervisor." title="" id="46" name="Picture"/>
            <a:graphic>
              <a:graphicData uri="http://schemas.openxmlformats.org/drawingml/2006/picture">
                <pic:pic>
                  <pic:nvPicPr>
                    <pic:cNvPr descr="../docs/img/hmi_superviso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 de supervisor.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anel de gerencia." title="" id="49" name="Picture"/>
            <a:graphic>
              <a:graphicData uri="http://schemas.openxmlformats.org/drawingml/2006/picture">
                <pic:pic>
                  <pic:nvPicPr>
                    <pic:cNvPr descr="../docs/img/hmi_gerencia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Panel de gerencia.</w:t>
      </w:r>
    </w:p>
    <w:bookmarkEnd w:id="51"/>
    <w:bookmarkStart w:id="52" w:name="bases-de-datos-y-reportes"/>
    <w:p>
      <w:pPr>
        <w:pStyle w:val="Heading2"/>
      </w:pPr>
      <w:r>
        <w:t xml:space="preserve">5.4 Bases de datos y reportes</w:t>
      </w:r>
    </w:p>
    <w:p>
      <w:pPr>
        <w:pStyle w:val="FirstParagraph"/>
      </w:pPr>
      <w:r>
        <w:t xml:space="preserve">El gateway lee el</w:t>
      </w:r>
      <w:r>
        <w:t xml:space="preserve"> </w:t>
      </w:r>
      <w:r>
        <w:rPr>
          <w:rStyle w:val="VerbatimChar"/>
        </w:rPr>
        <w:t xml:space="preserve">DB_Gateway</w:t>
      </w:r>
      <w:r>
        <w:t xml:space="preserve"> </w:t>
      </w:r>
      <w:r>
        <w:t xml:space="preserve">(no optimizado, 166 bytes) por S7/snap7 cada segundo, guarda las filas en SQLite y</w:t>
      </w:r>
      <w:r>
        <w:t xml:space="preserve"> </w:t>
      </w:r>
      <w:r>
        <w:t xml:space="preserve">las sincroniza por lotes con PostgreSQL en la nube (Supabase). Si se cae Internet, acumula las filas y las sube al</w:t>
      </w:r>
      <w:r>
        <w:t xml:space="preserve"> </w:t>
      </w:r>
      <w:r>
        <w:t xml:space="preserve">volver. Las tablas son</w:t>
      </w:r>
      <w:r>
        <w:t xml:space="preserve"> </w:t>
      </w:r>
      <w:r>
        <w:rPr>
          <w:rStyle w:val="VerbatimChar"/>
        </w:rPr>
        <w:t xml:space="preserve">proceso</w:t>
      </w:r>
      <w:r>
        <w:t xml:space="preserve">,</w:t>
      </w:r>
      <w:r>
        <w:t xml:space="preserve"> </w:t>
      </w:r>
      <w:r>
        <w:rPr>
          <w:rStyle w:val="VerbatimChar"/>
        </w:rPr>
        <w:t xml:space="preserve">gerencia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reportes</w:t>
      </w:r>
      <w:r>
        <w:t xml:space="preserve">. Los reportes se piden desde el HMI con un</w:t>
      </w:r>
      <w:r>
        <w:t xml:space="preserve"> </w:t>
      </w:r>
      <w:r>
        <w:t xml:space="preserve">handshake por contadores (el PLC incrementa la solicitud, el gateway devuelve el acuse). El reporte local es un PDF en</w:t>
      </w:r>
      <w:r>
        <w:t xml:space="preserve"> </w:t>
      </w:r>
      <w:r>
        <w:t xml:space="preserve">el PC; los de la nube se generan con los datos consultados a la nube y se guardan en la tabla</w:t>
      </w:r>
      <w:r>
        <w:t xml:space="preserve"> </w:t>
      </w:r>
      <w:r>
        <w:rPr>
          <w:rStyle w:val="VerbatimChar"/>
        </w:rPr>
        <w:t xml:space="preserve">reportes</w:t>
      </w:r>
      <w:r>
        <w:t xml:space="preserve">.</w:t>
      </w:r>
    </w:p>
    <w:bookmarkEnd w:id="52"/>
    <w:bookmarkStart w:id="53" w:name="proceso-emulado-factory-io"/>
    <w:p>
      <w:pPr>
        <w:pStyle w:val="Heading2"/>
      </w:pPr>
      <w:r>
        <w:t xml:space="preserve">5.5 Proceso emulado (Factory IO)</w:t>
      </w:r>
    </w:p>
    <w:p>
      <w:pPr>
        <w:pStyle w:val="FirstParagraph"/>
      </w:pPr>
      <w:r>
        <w:t xml:space="preserve">ON-OFF de nivel con la escena</w:t>
      </w:r>
      <w:r>
        <w:t xml:space="preserve"> </w:t>
      </w:r>
      <w:r>
        <w:rPr>
          <w:iCs/>
          <w:i/>
        </w:rPr>
        <w:t xml:space="preserve">Level control</w:t>
      </w:r>
      <w:r>
        <w:t xml:space="preserve"> </w:t>
      </w:r>
      <w:r>
        <w:t xml:space="preserve">y el mismo</w:t>
      </w:r>
      <w:r>
        <w:t xml:space="preserve"> </w:t>
      </w:r>
      <w:r>
        <w:rPr>
          <w:rStyle w:val="VerbatimChar"/>
        </w:rPr>
        <w:t xml:space="preserve">FB_OnOffHist</w:t>
      </w:r>
      <w:r>
        <w:t xml:space="preserve"> </w:t>
      </w:r>
      <w:r>
        <w:t xml:space="preserve">(banda ±2 %, descarga fija del 30 % como perturbación).</w:t>
      </w:r>
    </w:p>
    <w:bookmarkEnd w:id="53"/>
    <w:bookmarkEnd w:id="54"/>
    <w:bookmarkStart w:id="60" w:name="resultados"/>
    <w:p>
      <w:pPr>
        <w:pStyle w:val="Heading1"/>
      </w:pPr>
      <w:r>
        <w:t xml:space="preserve">6. Resultados</w:t>
      </w:r>
    </w:p>
    <w:bookmarkStart w:id="58" w:name="respuesta-esperada-diseño"/>
    <w:p>
      <w:pPr>
        <w:pStyle w:val="Heading2"/>
      </w:pPr>
      <w:r>
        <w:t xml:space="preserve">6.1 Respuesta esperada (diseño)</w:t>
      </w:r>
    </w:p>
    <w:p>
      <w:pPr>
        <w:pStyle w:val="FirstParagraph"/>
      </w:pPr>
      <w:r>
        <w:t xml:space="preserve">Modelo térmico de 2 nodos (placa: 80 J/K y 0,5 K/W; cámara: 450 J/K y 2,4 K/W; vaina de la RTD: τ = 15 s),</w:t>
      </w:r>
      <w:r>
        <w:t xml:space="preserve"> </w:t>
      </w:r>
      <w:r>
        <w:t xml:space="preserve">simulado con la misma lógica del PLC: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Respuesta esperada: arranque en frío, inversión de giro (30 min), cambio de SP 43 → 48 °C (40 min) y tapa abierta (55–57 min)." title="" id="56" name="Picture"/>
            <a:graphic>
              <a:graphicData uri="http://schemas.openxmlformats.org/drawingml/2006/picture">
                <pic:pic>
                  <pic:nvPicPr>
                    <pic:cNvPr descr="../docs/img/sim_respuesta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Respuesta esperada: arranque en frío, inversión de giro (30 min), cambio de SP 43 → 48 °C (40 min) y tapa abierta (55–57 min).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 (modelo)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hasta SP − 0,5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15,1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Tiempo hasta EN CONSIGNA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15,7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Sobrepico sobre 43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0,95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Oscilación en régimen (pico a pico)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1,87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Período del ciclo ON-OFF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 de trabajo del calefactor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51 %</w:t>
            </w:r>
          </w:p>
        </w:tc>
      </w:tr>
    </w:tbl>
    <w:bookmarkEnd w:id="58"/>
    <w:bookmarkStart w:id="59" w:name="resultados-medidos-completar"/>
    <w:p>
      <w:pPr>
        <w:pStyle w:val="Heading2"/>
      </w:pPr>
      <w:r>
        <w:t xml:space="preserve">6.2 Resultados medidos [COMPLETAR]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medido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Calibración del lazo (100 / 119,4 / 138,5 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 mA y °C]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Arranque en frío: tiempo hasta SP − 0,5 °C / sobrepico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Régimen: oscilación p-p / período / ciclo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 vs. error (5 puntos)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 tabla]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Tapa abierta 2 min: caída / reacción del agitador /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Seguridades (hongo, sensor abierto, termostato, falla del variador)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[COMPLETAR: OK / observaciones]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Reportes: PC / nube supervisor / nube gerencia (tiempo de generación)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Corte de Internet: filas pendientes y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 en Factory IO: oscilación y conmutaciones por minuto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</w:tbl>
    <w:p>
      <w:pPr>
        <w:pStyle w:val="BodyText"/>
      </w:pPr>
      <w:r>
        <w:t xml:space="preserve">[COMPLETAR: inserte aquí las capturas de la tendencia real, de los tres paneles en runtime, de la tabla en Supabase</w:t>
      </w:r>
      <w:r>
        <w:t xml:space="preserve"> </w:t>
      </w:r>
      <w:r>
        <w:t xml:space="preserve">y los PDF de los reportes.]</w:t>
      </w:r>
    </w:p>
    <w:bookmarkEnd w:id="59"/>
    <w:bookmarkEnd w:id="60"/>
    <w:bookmarkStart w:id="61" w:name="análisis-de-resultados"/>
    <w:p>
      <w:pPr>
        <w:pStyle w:val="Heading1"/>
      </w:pPr>
      <w:r>
        <w:t xml:space="preserve">7. Análisis de resultados</w:t>
      </w:r>
    </w:p>
    <w:p>
      <w:pPr>
        <w:pStyle w:val="FirstParagraph"/>
      </w:pPr>
      <w:r>
        <w:t xml:space="preserve">La guía pide comparar el diseño inicial con la solución implementada en funcionalidad, desempeño y alcance.</w:t>
      </w:r>
      <w:r>
        <w:t xml:space="preserve"> </w:t>
      </w:r>
      <w:r>
        <w:t xml:space="preserve">Use esta estructura y llene las cifras:</w:t>
      </w:r>
    </w:p>
    <w:p>
      <w:pPr>
        <w:pStyle w:val="BodyText"/>
      </w:pPr>
      <w:r>
        <w:rPr>
          <w:bCs/>
          <w:b/>
        </w:rPr>
        <w:t xml:space="preserve">Funcionalidad.</w:t>
      </w:r>
      <w:r>
        <w:t xml:space="preserve"> </w:t>
      </w:r>
      <w:r>
        <w:t xml:space="preserve">Todas las funciones pedidas quedaron implementadas en el diseño (tabla de 5.3). [COMPLETAR:</w:t>
      </w:r>
      <w:r>
        <w:t xml:space="preserve"> </w:t>
      </w:r>
      <w:r>
        <w:t xml:space="preserve">indique las que cambiaron al implementar, p. ej. si el rango del canal analógico fue 0–10 V en vez de 1–5 V, si se</w:t>
      </w:r>
      <w:r>
        <w:t xml:space="preserve"> </w:t>
      </w:r>
      <w:r>
        <w:t xml:space="preserve">usó un transmisor comercial en vez del XTR105, o si alguna pantalla se simplificó.]</w:t>
      </w:r>
    </w:p>
    <w:p>
      <w:pPr>
        <w:pStyle w:val="BodyText"/>
      </w:pPr>
      <w:r>
        <w:rPr>
          <w:bCs/>
          <w:b/>
        </w:rPr>
        <w:t xml:space="preserve">Desempeño del control.</w:t>
      </w:r>
      <w:r>
        <w:t xml:space="preserve"> </w:t>
      </w:r>
      <w:r>
        <w:t xml:space="preserve">El modelo predice un sobrepico de ~1 °C y una oscilación de ~1,9 °C p-p con H = 1 °C:</w:t>
      </w:r>
      <w:r>
        <w:t xml:space="preserve"> </w:t>
      </w:r>
      <w:r>
        <w:t xml:space="preserve">la oscilación casi duplica la histéresis por la energía que la placa sigue entregando después del apagado y por el</w:t>
      </w:r>
      <w:r>
        <w:t xml:space="preserve"> </w:t>
      </w:r>
      <w:r>
        <w:t xml:space="preserve">retardo de la vaina de la RTD. [COMPLETAR: compare con lo medido. Si la oscilación real es mayor, la inercia de la</w:t>
      </w:r>
      <w:r>
        <w:t xml:space="preserve"> </w:t>
      </w:r>
      <w:r>
        <w:t xml:space="preserve">placa es mayor que la supuesta: identifique K, τ y θ con la prueba escalón (sección 2.2 de la documentación),</w:t>
      </w:r>
      <w:r>
        <w:t xml:space="preserve"> </w:t>
      </w:r>
      <w:r>
        <w:t xml:space="preserve">actualice el modelo y explique la diferencia. Discuta si ±1 °C es aceptable para el yogur (sí, la ventana es de</w:t>
      </w:r>
      <w:r>
        <w:t xml:space="preserve"> </w:t>
      </w:r>
      <w:r>
        <w:t xml:space="preserve">42 a 45 °C) y qué pasaría con H = 0,5 °C y con H = 2 °C.]</w:t>
      </w:r>
    </w:p>
    <w:p>
      <w:pPr>
        <w:pStyle w:val="BodyText"/>
      </w:pPr>
      <w:r>
        <w:rPr>
          <w:bCs/>
          <w:b/>
        </w:rPr>
        <w:t xml:space="preserve">Agitador.</w:t>
      </w:r>
      <w:r>
        <w:t xml:space="preserve"> </w:t>
      </w:r>
      <w:r>
        <w:t xml:space="preserve">La banda de reinicio de 4 °C evitó que el agitador siguiera el ciclo del ON-OFF. Su valor es un</w:t>
      </w:r>
      <w:r>
        <w:t xml:space="preserve"> </w:t>
      </w:r>
      <w:r>
        <w:t xml:space="preserve">compromiso: debe ser mayor que la oscilación en régimen y menor que la perturbación que sí debe reactivar la</w:t>
      </w:r>
      <w:r>
        <w:t xml:space="preserve"> </w:t>
      </w:r>
      <w:r>
        <w:t xml:space="preserve">agitación. En la simulación, abrir la tapa 2 min a 48 °C bajó la temperatura ~4 °C, justo en el límite.</w:t>
      </w:r>
      <w:r>
        <w:t xml:space="preserve"> </w:t>
      </w:r>
      <w:r>
        <w:t xml:space="preserve">[COMPLETAR con lo observado.]</w:t>
      </w:r>
    </w:p>
    <w:p>
      <w:pPr>
        <w:pStyle w:val="BodyText"/>
      </w:pPr>
      <w:r>
        <w:rPr>
          <w:bCs/>
          <w:b/>
        </w:rPr>
        <w:t xml:space="preserve">Alcance.</w:t>
      </w:r>
      <w:r>
        <w:t xml:space="preserve"> </w:t>
      </w:r>
      <w:r>
        <w:t xml:space="preserve">[COMPLETAR: qué quedó por fuera (p. ej. PID, validación del modelo, más perturbaciones), las</w:t>
      </w:r>
      <w:r>
        <w:t xml:space="preserve"> </w:t>
      </w:r>
      <w:r>
        <w:t xml:space="preserve">limitaciones del laboratorio (red, fuente, tiempo) y lo que se haría en una versión industrial: paro de</w:t>
      </w:r>
      <w:r>
        <w:t xml:space="preserve"> </w:t>
      </w:r>
      <w:r>
        <w:t xml:space="preserve">emergencia de categoría certificada, redundancia de la medición, servidor histórico.]</w:t>
      </w:r>
    </w:p>
    <w:p>
      <w:pPr>
        <w:pStyle w:val="BodyText"/>
      </w:pPr>
      <w:r>
        <w:rPr>
          <w:bCs/>
          <w:b/>
        </w:rPr>
        <w:t xml:space="preserve">Integración con el negocio.</w:t>
      </w:r>
      <w:r>
        <w:t xml:space="preserve"> </w:t>
      </w:r>
      <w:r>
        <w:t xml:space="preserve">El KPI de calidad vincula el control con la economía: en la simulación, un cambio</w:t>
      </w:r>
      <w:r>
        <w:t xml:space="preserve"> </w:t>
      </w:r>
      <w:r>
        <w:t xml:space="preserve">de SP de 43 a 47 °C en plena fermentación dejó el proceso fuera de tolerancia más de 60 s y se rechazó el lote,</w:t>
      </w:r>
      <w:r>
        <w:t xml:space="preserve"> </w:t>
      </w:r>
      <w:r>
        <w:t xml:space="preserve">lo que bajó la calidad y subió el costo unitario. [COMPLETAR con los KPI de su turno real.]</w:t>
      </w:r>
    </w:p>
    <w:bookmarkEnd w:id="61"/>
    <w:bookmarkStart w:id="62" w:name="X866494dd8cb07422e73d09334f489835a26a90f"/>
    <w:p>
      <w:pPr>
        <w:pStyle w:val="Heading1"/>
      </w:pPr>
      <w:r>
        <w:t xml:space="preserve">8. Conclusiones (borrador: valídelas con sus datos)</w:t>
      </w:r>
    </w:p>
    <w:p>
      <w:pPr>
        <w:numPr>
          <w:ilvl w:val="0"/>
          <w:numId w:val="1003"/>
        </w:numPr>
        <w:pStyle w:val="Compact"/>
      </w:pPr>
      <w:r>
        <w:t xml:space="preserve">El control ON-OFF con histéresis de 1 °C mantuvo la temperatura de incubación dentro de [COMPLETAR] °C,</w:t>
      </w:r>
      <w:r>
        <w:t xml:space="preserve"> </w:t>
      </w:r>
      <w:r>
        <w:t xml:space="preserve">suficiente para la ventana de 42–45 °C del yogur. La inercia térmica de la placa calefactora hace que la</w:t>
      </w:r>
      <w:r>
        <w:t xml:space="preserve"> </w:t>
      </w:r>
      <w:r>
        <w:t xml:space="preserve">oscilación real supere el ancho de la histéresis, así que H se debe elegir con la dinámica de la planta, no solo con el ruido.</w:t>
      </w:r>
    </w:p>
    <w:p>
      <w:pPr>
        <w:numPr>
          <w:ilvl w:val="0"/>
          <w:numId w:val="1003"/>
        </w:numPr>
        <w:pStyle w:val="Compact"/>
      </w:pPr>
      <w:r>
        <w:t xml:space="preserve">Enclavar el agitador al llegar a la consigna, con una banda de reinicio mayor que la oscilación del ON-OFF,</w:t>
      </w:r>
      <w:r>
        <w:t xml:space="preserve"> </w:t>
      </w:r>
      <w:r>
        <w:t xml:space="preserve">cumple la consigna de velocidad de la guía y tiene sentido de proceso: agitar al calentar, reposo al fermentar.</w:t>
      </w:r>
    </w:p>
    <w:p>
      <w:pPr>
        <w:numPr>
          <w:ilvl w:val="0"/>
          <w:numId w:val="1003"/>
        </w:numPr>
        <w:pStyle w:val="Compact"/>
      </w:pPr>
      <w:r>
        <w:t xml:space="preserve">Separar la seguridad cableada (hongo y termostato en serie con la potencia) de la lógica del PLC hizo que las</w:t>
      </w:r>
      <w:r>
        <w:t xml:space="preserve"> </w:t>
      </w:r>
      <w:r>
        <w:t xml:space="preserve">pruebas de falla llevaran siempre la planta a un estado seguro [COMPLETAR: resultado de S3–S5].</w:t>
      </w:r>
    </w:p>
    <w:p>
      <w:pPr>
        <w:numPr>
          <w:ilvl w:val="0"/>
          <w:numId w:val="1003"/>
        </w:numPr>
        <w:pStyle w:val="Compact"/>
      </w:pPr>
      <w:r>
        <w:t xml:space="preserve">Diseñar las pantallas por rol con ISA-101 reduce la información de cada panel a lo que ese rol decide; el uso</w:t>
      </w:r>
      <w:r>
        <w:t xml:space="preserve"> </w:t>
      </w:r>
      <w:r>
        <w:t xml:space="preserve">del color solo para alarmas hizo evidente [COMPLETAR: observación de la práctica].</w:t>
      </w:r>
    </w:p>
    <w:p>
      <w:pPr>
        <w:numPr>
          <w:ilvl w:val="0"/>
          <w:numId w:val="1003"/>
        </w:numPr>
        <w:pStyle w:val="Compact"/>
      </w:pPr>
      <w:r>
        <w:t xml:space="preserve">Escribir primero en la base local y sincronizar con la nube toleró el corte de Internet sin perder datos</w:t>
      </w:r>
      <w:r>
        <w:t xml:space="preserve"> </w:t>
      </w:r>
      <w:r>
        <w:t xml:space="preserve">[COMPLETAR: S15]; la nube aporta acceso remoto y reportes, pero no debe estar en el lazo de control.</w:t>
      </w:r>
    </w:p>
    <w:bookmarkEnd w:id="62"/>
    <w:bookmarkStart w:id="63" w:name="preguntas-para-la-discusión"/>
    <w:p>
      <w:pPr>
        <w:pStyle w:val="Heading1"/>
      </w:pPr>
      <w:r>
        <w:t xml:space="preserve">9. Preguntas para la discusión</w:t>
      </w:r>
    </w:p>
    <w:p>
      <w:pPr>
        <w:pStyle w:val="FirstParagraph"/>
      </w:pPr>
      <w:r>
        <w:rPr>
          <w:bCs/>
          <w:b/>
        </w:rPr>
        <w:t xml:space="preserve">a) ¿Cuál es la diferencia entre supervisión local y supervisión remota, y qué ventajas ofrece cada una?</w:t>
      </w:r>
      <w:r>
        <w:t xml:space="preserve"> </w:t>
      </w:r>
      <w:r>
        <w:t xml:space="preserve">La local se hace desde una estación conectada directamente a la red de control (WinCC en el PC del banco). Tiene</w:t>
      </w:r>
      <w:r>
        <w:t xml:space="preserve"> </w:t>
      </w:r>
      <w:r>
        <w:t xml:space="preserve">latencia baja y determinista, funciona sin Internet, permite mandos en tiempo real y es la adecuada para operar,</w:t>
      </w:r>
      <w:r>
        <w:t xml:space="preserve"> </w:t>
      </w:r>
      <w:r>
        <w:t xml:space="preserve">reconocer alarmas y actuar ante emergencias. La remota lleva los datos fuera de la planta (aquí, PostgreSQL en la</w:t>
      </w:r>
      <w:r>
        <w:t xml:space="preserve"> </w:t>
      </w:r>
      <w:r>
        <w:t xml:space="preserve">nube): da acceso desde cualquier lugar, historiales centralizados de varias plantas, reportes para gerencia y</w:t>
      </w:r>
      <w:r>
        <w:t xml:space="preserve"> </w:t>
      </w:r>
      <w:r>
        <w:t xml:space="preserve">analítica, sin instalar software en cada sitio. Sus costos son la latencia variable, la dependencia de Internet y</w:t>
      </w:r>
      <w:r>
        <w:t xml:space="preserve"> </w:t>
      </w:r>
      <w:r>
        <w:t xml:space="preserve">una superficie de ataque mayor. Por eso se usa para monitorear y analizar, no para mandar en tiempo real.</w:t>
      </w:r>
    </w:p>
    <w:p>
      <w:pPr>
        <w:pStyle w:val="BodyText"/>
      </w:pPr>
      <w:r>
        <w:rPr>
          <w:bCs/>
          <w:b/>
        </w:rPr>
        <w:t xml:space="preserve">b) ¿Por qué es importante integrar HMI y SCADA con el PLC?</w:t>
      </w:r>
      <w:r>
        <w:t xml:space="preserve"> </w:t>
      </w:r>
      <w:r>
        <w:t xml:space="preserve">El PLC tiene la lógica determinista y las seguridades; el HMI/SCADA le da al humano visibilidad y mando. Integrarlos</w:t>
      </w:r>
      <w:r>
        <w:t xml:space="preserve"> </w:t>
      </w:r>
      <w:r>
        <w:t xml:space="preserve">con variables simbólicas compartidas (aquí</w:t>
      </w:r>
      <w:r>
        <w:t xml:space="preserve"> </w:t>
      </w:r>
      <w:r>
        <w:rPr>
          <w:rStyle w:val="VerbatimChar"/>
        </w:rPr>
        <w:t xml:space="preserve">DB_HMI</w:t>
      </w:r>
      <w:r>
        <w:t xml:space="preserve">) garantiza que lo que se ve es el estado real del proceso,</w:t>
      </w:r>
      <w:r>
        <w:t xml:space="preserve"> </w:t>
      </w:r>
      <w:r>
        <w:t xml:space="preserve">permite cambiar consignas y parámetros sin reprogramar, centraliza alarmas y eventos con su contexto, y alimenta el</w:t>
      </w:r>
      <w:r>
        <w:t xml:space="preserve"> </w:t>
      </w:r>
      <w:r>
        <w:t xml:space="preserve">registro histórico y los reportes. Sin esa integración los datos se duplican y aparecen inconsistencias. Además, el</w:t>
      </w:r>
      <w:r>
        <w:t xml:space="preserve"> </w:t>
      </w:r>
      <w:r>
        <w:t xml:space="preserve">PLC sigue operando y protegiendo el proceso aunque el SCADA falle.</w:t>
      </w:r>
    </w:p>
    <w:p>
      <w:pPr>
        <w:pStyle w:val="BodyText"/>
      </w:pPr>
      <w:r>
        <w:rPr>
          <w:bCs/>
          <w:b/>
        </w:rPr>
        <w:t xml:space="preserve">c) ¿Qué criterios deben considerarse para elegir entre ON-OFF y PID?</w:t>
      </w:r>
      <w:r>
        <w:t xml:space="preserve"> </w:t>
      </w:r>
      <w:r>
        <w:t xml:space="preserve">(1) El actuador: si es todo-nada (relé, válvula solenoide) el ON-OFF es natural; un PID requiere actuador modulante o</w:t>
      </w:r>
      <w:r>
        <w:t xml:space="preserve"> </w:t>
      </w:r>
      <w:r>
        <w:t xml:space="preserve">PWM. (2) La tolerancia del proceso: si admite la oscilación (aquí ±1 °C en una ventana de 3 °C), el ON-OFF basta; si</w:t>
      </w:r>
      <w:r>
        <w:t xml:space="preserve"> </w:t>
      </w:r>
      <w:r>
        <w:t xml:space="preserve">exige error casi nulo, PID. (3) La dinámica: plantas lentas, con gran inercia y retardo, oscilan más con ON-OFF.</w:t>
      </w:r>
      <w:r>
        <w:t xml:space="preserve"> </w:t>
      </w:r>
      <w:r>
        <w:t xml:space="preserve">(4) El desgaste: cada conmutación desgasta relés y contactores; el ON-OFF necesita histéresis para limitarlas.</w:t>
      </w:r>
      <w:r>
        <w:t xml:space="preserve"> </w:t>
      </w:r>
      <w:r>
        <w:t xml:space="preserve">(5) El costo y la complejidad: el ON-OFF no requiere sintonía ni modelo; el PID sí, y además manejo de anti-windup.</w:t>
      </w:r>
      <w:r>
        <w:t xml:space="preserve"> </w:t>
      </w:r>
      <w:r>
        <w:t xml:space="preserve">(6) La eficiencia energética y la calidad del producto cuando la oscilación influye en ellas.</w:t>
      </w:r>
    </w:p>
    <w:p>
      <w:pPr>
        <w:pStyle w:val="BodyText"/>
      </w:pPr>
      <w:r>
        <w:rPr>
          <w:bCs/>
          <w:b/>
        </w:rPr>
        <w:t xml:space="preserve">d) ¿Cómo influyen las alarmas y seguridades (nivel alto, nivel bajo, paro de emergencia) en la confiabilidad?</w:t>
      </w:r>
      <w:r>
        <w:t xml:space="preserve"> </w:t>
      </w:r>
      <w:r>
        <w:t xml:space="preserve">Las alarmas de alto y bajo avisan antes de que la desviación afecte al producto o al equipo y dan tiempo de</w:t>
      </w:r>
      <w:r>
        <w:t xml:space="preserve"> </w:t>
      </w:r>
      <w:r>
        <w:t xml:space="preserve">reaccionar. Bien diseñadas (prioridades, retardos y acuse según ISA-18.2) evitan la avalancha de alarmas que hace</w:t>
      </w:r>
      <w:r>
        <w:t xml:space="preserve"> </w:t>
      </w:r>
      <w:r>
        <w:t xml:space="preserve">ignorar las importantes. Las seguridades (HH que apaga el calefactor, falla del sensor, paro de emergencia) llevan</w:t>
      </w:r>
      <w:r>
        <w:t xml:space="preserve"> </w:t>
      </w:r>
      <w:r>
        <w:t xml:space="preserve">el proceso a un estado seguro definido sin depender del operador. Para que sean confiables deben ser independientes</w:t>
      </w:r>
      <w:r>
        <w:t xml:space="preserve"> </w:t>
      </w:r>
      <w:r>
        <w:t xml:space="preserve">de la función de control: aquí el hongo y el termostato cortan la potencia por hardware, porque un paro</w:t>
      </w:r>
      <w:r>
        <w:t xml:space="preserve"> </w:t>
      </w:r>
      <w:r>
        <w:t xml:space="preserve">implementado solo en software (como el botón del HMI) no es un paro de emergencia válido según ISO 13850. Todo esto</w:t>
      </w:r>
      <w:r>
        <w:t xml:space="preserve"> </w:t>
      </w:r>
      <w:r>
        <w:t xml:space="preserve">reduce los daños y las paradas no planificadas, y mejora la disponibilidad (OEE).</w:t>
      </w:r>
    </w:p>
    <w:p>
      <w:pPr>
        <w:pStyle w:val="BodyText"/>
      </w:pPr>
      <w:r>
        <w:rPr>
          <w:bCs/>
          <w:b/>
        </w:rPr>
        <w:t xml:space="preserve">e) ¿Qué papel cumple la visualización gráfica y numérica en la toma de decisiones del operador?</w:t>
      </w:r>
      <w:r>
        <w:t xml:space="preserve"> </w:t>
      </w:r>
      <w:r>
        <w:t xml:space="preserve">La gráfica (barras con banda normal, tendencias, animaciones de estado) permite detectar patrones y desviaciones de</w:t>
      </w:r>
      <w:r>
        <w:t xml:space="preserve"> </w:t>
      </w:r>
      <w:r>
        <w:t xml:space="preserve">un vistazo: si la temperatura está subiendo o bajando y si el ciclo del ON-OFF cambió. La numérica da el valor</w:t>
      </w:r>
      <w:r>
        <w:t xml:space="preserve"> </w:t>
      </w:r>
      <w:r>
        <w:t xml:space="preserve">exacto para ajustes finos y registros. Combinadas con ISA-101 (fondo neutro, color solo para anomalías) reducen la</w:t>
      </w:r>
      <w:r>
        <w:t xml:space="preserve"> </w:t>
      </w:r>
      <w:r>
        <w:t xml:space="preserve">carga cognitiva y el tiempo de reacción; mostrar el SP sobre la barra de la PV hace evidente el error sin calcularlo.</w:t>
      </w:r>
    </w:p>
    <w:p>
      <w:pPr>
        <w:pStyle w:val="BodyText"/>
      </w:pPr>
      <w:r>
        <w:rPr>
          <w:bCs/>
          <w:b/>
        </w:rPr>
        <w:t xml:space="preserve">f) ¿Cómo se relaciona el funcionamiento del variador con el comportamiento de la variable análoga?</w:t>
      </w:r>
      <w:r>
        <w:t xml:space="preserve"> </w:t>
      </w:r>
      <w:r>
        <w:t xml:space="preserve">En esta práctica la consigna de velocidad es función del error de temperatura: v = Vmin + (Vmax − Vmin)·|e|/Emax,</w:t>
      </w:r>
      <w:r>
        <w:t xml:space="preserve"> </w:t>
      </w:r>
      <w:r>
        <w:t xml:space="preserve">saturada en Vmax y enclavada en 0 al llegar al SP. El variador recibe la consigna por PROFINET (NSOLL_A) y la sigue</w:t>
      </w:r>
      <w:r>
        <w:t xml:space="preserve"> </w:t>
      </w:r>
      <w:r>
        <w:t xml:space="preserve">con sus rampas (p1120/p1121), así que la velocidad real (NIST_A) sigue la temperatura con el retardo de la rampa. En la</w:t>
      </w:r>
      <w:r>
        <w:t xml:space="preserve"> </w:t>
      </w:r>
      <w:r>
        <w:t xml:space="preserve">industria esta relación es común: ventiladores o bombas cuya velocidad sigue una variable de proceso (temperatura,</w:t>
      </w:r>
      <w:r>
        <w:t xml:space="preserve"> </w:t>
      </w:r>
      <w:r>
        <w:t xml:space="preserve">presión, nivel), lo que ahorra energía frente a la marcha a velocidad fija.</w:t>
      </w:r>
    </w:p>
    <w:p>
      <w:pPr>
        <w:pStyle w:val="BodyText"/>
      </w:pPr>
      <w:r>
        <w:rPr>
          <w:bCs/>
          <w:b/>
        </w:rPr>
        <w:t xml:space="preserve">g) ¿Qué ventajas y limitaciones tiene la supervisión en la nube frente a la local y remota tradicional?</w:t>
      </w:r>
      <w:r>
        <w:t xml:space="preserve"> </w:t>
      </w:r>
      <w:r>
        <w:t xml:space="preserve">Ventajas: acceso desde cualquier dispositivo, sin servidores propios; escalabilidad y respaldo gestionado;</w:t>
      </w:r>
      <w:r>
        <w:t xml:space="preserve"> </w:t>
      </w:r>
      <w:r>
        <w:t xml:space="preserve">centralización de varias plantas; integración con analítica, reportes y aprendizaje automático; bajo costo inicial</w:t>
      </w:r>
      <w:r>
        <w:t xml:space="preserve"> </w:t>
      </w:r>
      <w:r>
        <w:t xml:space="preserve">(plan gratuito de Supabase). Limitaciones: depende de Internet (aquí se mitiga con almacenamiento local y</w:t>
      </w:r>
      <w:r>
        <w:t xml:space="preserve"> </w:t>
      </w:r>
      <w:r>
        <w:t xml:space="preserve">sincronización posterior); latencia variable, inadecuada para control; riesgos de ciberseguridad (credenciales,</w:t>
      </w:r>
      <w:r>
        <w:t xml:space="preserve"> </w:t>
      </w:r>
      <w:r>
        <w:t xml:space="preserve">exposición a Internet: deben seguirse NIST SP 800-82 [4] y la segmentación de redes); costos recurrentes y</w:t>
      </w:r>
      <w:r>
        <w:t xml:space="preserve"> </w:t>
      </w:r>
      <w:r>
        <w:t xml:space="preserve">dependencia del proveedor; y requisitos legales sobre dónde se guardan los datos.</w:t>
      </w:r>
    </w:p>
    <w:p>
      <w:pPr>
        <w:pStyle w:val="BodyText"/>
      </w:pPr>
      <w:r>
        <w:rPr>
          <w:bCs/>
          <w:b/>
        </w:rPr>
        <w:t xml:space="preserve">h) ¿Cómo contribuye esta práctica a las competencias en diseño, implementación y análisis de sistemas de automatización?</w:t>
      </w:r>
      <w:r>
        <w:t xml:space="preserve"> </w:t>
      </w:r>
      <w:r>
        <w:t xml:space="preserve">Integra todo el ciclo: formular un proceso con requisitos de negocio, diseñar la planta y su instrumentación con</w:t>
      </w:r>
      <w:r>
        <w:t xml:space="preserve"> </w:t>
      </w:r>
      <w:r>
        <w:t xml:space="preserve">seguridad cableada, programar el PLC de forma estructurada, comunicarse con un accionamiento por un perfil estándar</w:t>
      </w:r>
      <w:r>
        <w:t xml:space="preserve"> </w:t>
      </w:r>
      <w:r>
        <w:t xml:space="preserve">(PROFIdrive), diseñar HMI con normas (ISA-101, ISA-18.2, IEC 60073), manejar bases de datos y la nube, y traducir</w:t>
      </w:r>
      <w:r>
        <w:t xml:space="preserve"> </w:t>
      </w:r>
      <w:r>
        <w:t xml:space="preserve">el comportamiento técnico en indicadores económicos (OEE, costo unitario). El análisis</w:t>
      </w:r>
      <w:r>
        <w:t xml:space="preserve"> </w:t>
      </w:r>
      <w:r>
        <w:t xml:space="preserve">“</w:t>
      </w:r>
      <w:r>
        <w:t xml:space="preserve">diseño vs implementación</w:t>
      </w:r>
      <w:r>
        <w:t xml:space="preserve">”</w:t>
      </w:r>
      <w:r>
        <w:t xml:space="preserve"> </w:t>
      </w:r>
      <w:r>
        <w:t xml:space="preserve">con un modelo simulado es la práctica real de la puesta en marcha industrial (FAT/SAT).</w:t>
      </w:r>
    </w:p>
    <w:bookmarkEnd w:id="63"/>
    <w:bookmarkStart w:id="64" w:name="bibliografía"/>
    <w:p>
      <w:pPr>
        <w:pStyle w:val="Heading1"/>
      </w:pPr>
      <w:r>
        <w:t xml:space="preserve">10. Bibliografía</w:t>
      </w:r>
    </w:p>
    <w:p>
      <w:pPr>
        <w:pStyle w:val="FirstParagraph"/>
      </w:pPr>
      <w:r>
        <w:t xml:space="preserve">[1] S. A. Boyer,</w:t>
      </w:r>
      <w:r>
        <w:t xml:space="preserve"> </w:t>
      </w:r>
      <w:r>
        <w:rPr>
          <w:iCs/>
          <w:i/>
        </w:rPr>
        <w:t xml:space="preserve">SCADA: Supervisory Control and Data Acquisition</w:t>
      </w:r>
      <w:r>
        <w:t xml:space="preserve">, 3rd ed. Research Triangle Park, NC, USA: ISA, 2004.</w:t>
      </w:r>
    </w:p>
    <w:p>
      <w:pPr>
        <w:pStyle w:val="BodyText"/>
      </w:pPr>
      <w:r>
        <w:t xml:space="preserve">[2] E. J. M. Colbert and A. Kott, Eds.,</w:t>
      </w:r>
      <w:r>
        <w:t xml:space="preserve"> </w:t>
      </w:r>
      <w:r>
        <w:rPr>
          <w:iCs/>
          <w:i/>
        </w:rPr>
        <w:t xml:space="preserve">Cyber-security of SCADA and Other Industrial Control Systems</w:t>
      </w:r>
      <w:r>
        <w:t xml:space="preserve">. Cham, Switzerland: Springer, 2016.</w:t>
      </w:r>
    </w:p>
    <w:p>
      <w:pPr>
        <w:pStyle w:val="BodyText"/>
      </w:pPr>
      <w:r>
        <w:t xml:space="preserve">[3] A. S. AlMadhoun,</w:t>
      </w:r>
      <w:r>
        <w:t xml:space="preserve"> </w:t>
      </w:r>
      <w:r>
        <w:rPr>
          <w:iCs/>
          <w:i/>
        </w:rPr>
        <w:t xml:space="preserve">PLC SCADA for Beginners: Understanding and Implementing Industrial Automation Systems</w:t>
      </w:r>
      <w:r>
        <w:t xml:space="preserve">. Berkeley, CA, USA: Apress, 2025.</w:t>
      </w:r>
    </w:p>
    <w:p>
      <w:pPr>
        <w:pStyle w:val="BodyText"/>
      </w:pPr>
      <w:r>
        <w:t xml:space="preserve">[4] K. Stouffer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Guide to Operational Technology (OT) Security,</w:t>
      </w:r>
      <w:r>
        <w:t xml:space="preserve">”</w:t>
      </w:r>
      <w:r>
        <w:t xml:space="preserve"> </w:t>
      </w:r>
      <w:r>
        <w:t xml:space="preserve">NIST SP 800-82 Rev. 3, National Institute of Standards and Technology, 2023.</w:t>
      </w:r>
    </w:p>
    <w:p>
      <w:pPr>
        <w:pStyle w:val="BodyText"/>
      </w:pPr>
      <w:r>
        <w:t xml:space="preserve">[5]</w:t>
      </w:r>
      <w:r>
        <w:t xml:space="preserve"> </w:t>
      </w:r>
      <w:r>
        <w:rPr>
          <w:iCs/>
          <w:i/>
        </w:rPr>
        <w:t xml:space="preserve">Human Machine Interfaces for Process Automation Systems</w:t>
      </w:r>
      <w:r>
        <w:t xml:space="preserve">, ANSI/ISA-101.01-2015, ISA, 2015.</w:t>
      </w:r>
    </w:p>
    <w:p>
      <w:pPr>
        <w:pStyle w:val="BodyText"/>
      </w:pPr>
      <w:r>
        <w:t xml:space="preserve">[6]</w:t>
      </w:r>
      <w:r>
        <w:t xml:space="preserve"> </w:t>
      </w:r>
      <w:r>
        <w:rPr>
          <w:iCs/>
          <w:i/>
        </w:rPr>
        <w:t xml:space="preserve">Management of Alarm Systems for the Process Industries</w:t>
      </w:r>
      <w:r>
        <w:t xml:space="preserve">, ANSI/ISA-18.2-2016, ISA, 2016.</w:t>
      </w:r>
    </w:p>
    <w:p>
      <w:pPr>
        <w:pStyle w:val="BodyText"/>
      </w:pPr>
      <w:r>
        <w:t xml:space="preserve">[7]</w:t>
      </w:r>
      <w:r>
        <w:t xml:space="preserve"> </w:t>
      </w:r>
      <w:r>
        <w:rPr>
          <w:iCs/>
          <w:i/>
        </w:rPr>
        <w:t xml:space="preserve">Basic and safety principles for man-machine interface, marking and identification – Coding principles for indicators and actuators</w:t>
      </w:r>
      <w:r>
        <w:t xml:space="preserve">, IEC 60073:2002.</w:t>
      </w:r>
    </w:p>
    <w:p>
      <w:pPr>
        <w:pStyle w:val="BodyText"/>
      </w:pPr>
      <w:r>
        <w:t xml:space="preserve">[8]</w:t>
      </w:r>
      <w:r>
        <w:t xml:space="preserve"> </w:t>
      </w:r>
      <w:r>
        <w:rPr>
          <w:iCs/>
          <w:i/>
        </w:rPr>
        <w:t xml:space="preserve">Safety of machinery – Electrical equipment of machines – Part 1: General requirements</w:t>
      </w:r>
      <w:r>
        <w:t xml:space="preserve">, IEC 60204-1:2016.</w:t>
      </w:r>
    </w:p>
    <w:p>
      <w:pPr>
        <w:pStyle w:val="BodyText"/>
      </w:pPr>
      <w:r>
        <w:t xml:space="preserve">[9]</w:t>
      </w:r>
      <w:r>
        <w:t xml:space="preserve"> </w:t>
      </w:r>
      <w:r>
        <w:rPr>
          <w:iCs/>
          <w:i/>
        </w:rPr>
        <w:t xml:space="preserve">Safety of machinery – Emergency stop function – Principles for design</w:t>
      </w:r>
      <w:r>
        <w:t xml:space="preserve">, ISO 13850:2015.</w:t>
      </w:r>
    </w:p>
    <w:p>
      <w:pPr>
        <w:pStyle w:val="BodyText"/>
      </w:pPr>
      <w:r>
        <w:t xml:space="preserve">[10] Siemens AG,</w:t>
      </w:r>
      <w:r>
        <w:t xml:space="preserve"> </w:t>
      </w:r>
      <w:r>
        <w:rPr>
          <w:iCs/>
          <w:i/>
        </w:rPr>
        <w:t xml:space="preserve">SINAMICS G120 Control Units CU240B-2/CU240E-2 – Operating Instructions</w:t>
      </w:r>
      <w:r>
        <w:t xml:space="preserve">, 2020.</w:t>
      </w:r>
    </w:p>
    <w:p>
      <w:pPr>
        <w:pStyle w:val="BodyText"/>
      </w:pPr>
      <w:r>
        <w:t xml:space="preserve">[11] PROFIBUS &amp; PROFINET International,</w:t>
      </w:r>
      <w:r>
        <w:t xml:space="preserve"> </w:t>
      </w:r>
      <w:r>
        <w:rPr>
          <w:iCs/>
          <w:i/>
        </w:rPr>
        <w:t xml:space="preserve">PROFIdrive – Profile Drive Technology</w:t>
      </w:r>
      <w:r>
        <w:t xml:space="preserve">, v4.2, 2015.</w:t>
      </w:r>
    </w:p>
    <w:p>
      <w:pPr>
        <w:pStyle w:val="BodyText"/>
      </w:pPr>
      <w:r>
        <w:t xml:space="preserve">[12] Texas Instruments,</w:t>
      </w:r>
      <w:r>
        <w:t xml:space="preserve"> </w:t>
      </w:r>
      <w:r>
        <w:t xml:space="preserve">“</w:t>
      </w:r>
      <w:r>
        <w:t xml:space="preserve">XTR105 4-20 mA Current Transmitter with Sensor Excitation and Linearization,</w:t>
      </w:r>
      <w:r>
        <w:t xml:space="preserve">”</w:t>
      </w:r>
      <w:r>
        <w:t xml:space="preserve"> </w:t>
      </w:r>
      <w:r>
        <w:t xml:space="preserve">SBOS061, datasheet.</w:t>
      </w:r>
    </w:p>
    <w:p>
      <w:pPr>
        <w:pStyle w:val="BodyText"/>
      </w:pPr>
      <w:r>
        <w:t xml:space="preserve">[13] NAMUR,</w:t>
      </w:r>
      <w:r>
        <w:t xml:space="preserve"> </w:t>
      </w:r>
      <w:r>
        <w:rPr>
          <w:iCs/>
          <w:i/>
        </w:rPr>
        <w:t xml:space="preserve">NE 43: Standardization of the Signal Level for the Failure Information of Digital Transmitters</w:t>
      </w:r>
      <w:r>
        <w:t xml:space="preserve">, 2003.</w:t>
      </w:r>
    </w:p>
    <w:p>
      <w:pPr>
        <w:pStyle w:val="BodyText"/>
      </w:pPr>
      <w:r>
        <w:t xml:space="preserve">[14] S. Nakajima,</w:t>
      </w:r>
      <w:r>
        <w:t xml:space="preserve"> </w:t>
      </w:r>
      <w:r>
        <w:rPr>
          <w:iCs/>
          <w:i/>
        </w:rPr>
        <w:t xml:space="preserve">Introduction to TPM: Total Productive Maintenance</w:t>
      </w:r>
      <w:r>
        <w:t xml:space="preserve">. Cambridge, MA, USA: Productivity Press, 1988.</w:t>
      </w:r>
    </w:p>
    <w:bookmarkEnd w:id="64"/>
    <w:bookmarkStart w:id="65" w:name="anexos"/>
    <w:p>
      <w:pPr>
        <w:pStyle w:val="Heading1"/>
      </w:pPr>
      <w:r>
        <w:t xml:space="preserve">Anexos</w:t>
      </w:r>
    </w:p>
    <w:p>
      <w:pPr>
        <w:numPr>
          <w:ilvl w:val="0"/>
          <w:numId w:val="1004"/>
        </w:numPr>
        <w:pStyle w:val="Compact"/>
      </w:pPr>
      <w:r>
        <w:t xml:space="preserve">A. Fuentes del PLC:</w:t>
      </w:r>
      <w:r>
        <w:t xml:space="preserve"> </w:t>
      </w:r>
      <w:r>
        <w:rPr>
          <w:rStyle w:val="VerbatimChar"/>
        </w:rPr>
        <w:t xml:space="preserve">plc/fuentes_scl/</w:t>
      </w:r>
      <w:r>
        <w:t xml:space="preserve"> </w:t>
      </w:r>
      <w:r>
        <w:t xml:space="preserve">(SCL) y tabla de variables</w:t>
      </w:r>
      <w:r>
        <w:t xml:space="preserve"> </w:t>
      </w:r>
      <w:r>
        <w:rPr>
          <w:rStyle w:val="VerbatimChar"/>
        </w:rPr>
        <w:t xml:space="preserve">plc/tablas/Variables_PLC.xlsx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B. Gateway y bases de datos: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(Python, pruebas automáticas, configuración).</w:t>
      </w:r>
    </w:p>
    <w:p>
      <w:pPr>
        <w:numPr>
          <w:ilvl w:val="0"/>
          <w:numId w:val="1004"/>
        </w:numPr>
        <w:pStyle w:val="Compact"/>
      </w:pPr>
      <w:r>
        <w:t xml:space="preserve">C. Carcasa:</w:t>
      </w:r>
      <w:r>
        <w:t xml:space="preserve"> </w:t>
      </w:r>
      <w:r>
        <w:rPr>
          <w:rStyle w:val="VerbatimChar"/>
        </w:rPr>
        <w:t xml:space="preserve">hardware/carcasa/</w:t>
      </w:r>
      <w:r>
        <w:t xml:space="preserve"> </w:t>
      </w:r>
      <w:r>
        <w:t xml:space="preserve">(OpenSCAD y STL). Esquemáticos:</w:t>
      </w:r>
      <w:r>
        <w:t xml:space="preserve"> </w:t>
      </w:r>
      <w:r>
        <w:rPr>
          <w:rStyle w:val="VerbatimChar"/>
        </w:rPr>
        <w:t xml:space="preserve">hardware/pcb/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D. Maquetas de los paneles:</w:t>
      </w:r>
      <w:r>
        <w:t xml:space="preserve"> </w:t>
      </w:r>
      <w:r>
        <w:rPr>
          <w:rStyle w:val="VerbatimChar"/>
        </w:rPr>
        <w:t xml:space="preserve">scada/mockups/</w:t>
      </w:r>
      <w:r>
        <w:t xml:space="preserve">. Protocolo de pruebas:</w:t>
      </w:r>
      <w:r>
        <w:t xml:space="preserve"> </w:t>
      </w:r>
      <w:r>
        <w:rPr>
          <w:rStyle w:val="VerbatimChar"/>
        </w:rPr>
        <w:t xml:space="preserve">docs/08_pruebas_y_puesta_en_marcha.md</w:t>
      </w:r>
      <w:r>
        <w:t xml:space="preserve">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48" Target="media/rId4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38" Target="media/rId38.png" /><Relationship Type="http://schemas.openxmlformats.org/officeDocument/2006/relationships/image" Id="rId27" Target="media/rId27.png" /><Relationship Type="http://schemas.openxmlformats.org/officeDocument/2006/relationships/image" Id="rId55" Target="media/rId55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de laboratorio: Supervisión</dc:title>
  <dc:creator>Andrés Felipe Blanco Romero (7004096); [Integrante 2 (código)]; [Integrante 3 (código)]</dc:creator>
  <dc:language>es</dc:language>
  <cp:keywords/>
  <dcterms:created xsi:type="dcterms:W3CDTF">2026-10-14T05:23:24Z</dcterms:created>
  <dcterms:modified xsi:type="dcterms:W3CDTF">2026-10-14T05:23:24Z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Universidad Militar Nueva Granada · Facultad de Ingeniería · Ingeniería Mecatrónica · Automatización Industrial (IX semestre) · 2026</vt:lpwstr>
  </property>
  <property fmtid="{D5CDD505-2E9C-101B-9397-08002B2CF9AE}" pid="3" name="subtitle">
    <vt:lpwstr>Sistema de supervisión local y remota de una incubadora de yogur con agitador por variador de velocidad</vt:lpwstr>
  </property>
  <property fmtid="{D5CDD505-2E9C-101B-9397-08002B2CF9AE}" pid="4" name="toc-title">
    <vt:lpwstr>Contenido</vt:lpwstr>
  </property>
</Properties>
</file>