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950C" w14:textId="673746A9" w:rsidR="00811B66" w:rsidRDefault="00811B66">
      <w:r>
        <w:t xml:space="preserve">Hallazgos primer data set valor m2 manzana </w:t>
      </w:r>
    </w:p>
    <w:p w14:paraId="3FA1343F" w14:textId="77777777" w:rsidR="008E0002" w:rsidRDefault="008E0002" w:rsidP="008E0002"/>
    <w:p w14:paraId="60FB1B4F" w14:textId="77777777" w:rsidR="008E0002" w:rsidRPr="008E0002" w:rsidRDefault="008E0002" w:rsidP="008E0002">
      <w:r w:rsidRPr="008E0002">
        <w:t xml:space="preserve">Perfecto — esa es la </w:t>
      </w:r>
      <w:r w:rsidRPr="008E0002">
        <w:rPr>
          <w:b/>
          <w:bCs/>
        </w:rPr>
        <w:t>regla híbrida</w:t>
      </w:r>
      <w:r w:rsidRPr="008E0002">
        <w:t xml:space="preserve"> más sencilla y transparente:</w:t>
      </w:r>
    </w:p>
    <w:p w14:paraId="1C53889B" w14:textId="77777777" w:rsidR="008E0002" w:rsidRPr="008E0002" w:rsidRDefault="008E0002" w:rsidP="008E0002">
      <w:r w:rsidRPr="008E0002">
        <w:rPr>
          <w:b/>
          <w:bCs/>
        </w:rPr>
        <w:t>Regla definitiva</w:t>
      </w:r>
    </w:p>
    <w:p w14:paraId="4BAC7328" w14:textId="77777777" w:rsidR="008E0002" w:rsidRPr="008E0002" w:rsidRDefault="008E0002" w:rsidP="008E0002">
      <w:pPr>
        <w:numPr>
          <w:ilvl w:val="0"/>
          <w:numId w:val="2"/>
        </w:numPr>
      </w:pPr>
      <w:r w:rsidRPr="008E0002">
        <w:rPr>
          <w:b/>
          <w:bCs/>
        </w:rPr>
        <w:t xml:space="preserve">Si </w:t>
      </w:r>
      <w:proofErr w:type="spellStart"/>
      <w:r w:rsidRPr="008E0002">
        <w:rPr>
          <w:b/>
          <w:bCs/>
        </w:rPr>
        <w:t>VrInt_Resi</w:t>
      </w:r>
      <w:proofErr w:type="spellEnd"/>
      <w:r w:rsidRPr="008E0002">
        <w:rPr>
          <w:b/>
          <w:bCs/>
        </w:rPr>
        <w:t xml:space="preserve"> &gt; 0 </w:t>
      </w:r>
      <w:r w:rsidRPr="008E0002">
        <w:rPr>
          <w:rFonts w:ascii="Cambria Math" w:hAnsi="Cambria Math" w:cs="Cambria Math"/>
          <w:b/>
          <w:bCs/>
        </w:rPr>
        <w:t>⇒</w:t>
      </w:r>
      <w:r w:rsidRPr="008E0002">
        <w:rPr>
          <w:b/>
          <w:bCs/>
        </w:rPr>
        <w:t xml:space="preserve"> valor_m2_media = </w:t>
      </w:r>
      <w:proofErr w:type="spellStart"/>
      <w:r w:rsidRPr="008E0002">
        <w:rPr>
          <w:b/>
          <w:bCs/>
        </w:rPr>
        <w:t>VrInt_Resi</w:t>
      </w:r>
      <w:proofErr w:type="spellEnd"/>
    </w:p>
    <w:p w14:paraId="31CA9EFF" w14:textId="77777777" w:rsidR="008E0002" w:rsidRPr="008E0002" w:rsidRDefault="008E0002" w:rsidP="008E0002">
      <w:pPr>
        <w:numPr>
          <w:ilvl w:val="0"/>
          <w:numId w:val="2"/>
        </w:numPr>
      </w:pPr>
      <w:r w:rsidRPr="008E0002">
        <w:rPr>
          <w:b/>
          <w:bCs/>
        </w:rPr>
        <w:t xml:space="preserve">Si </w:t>
      </w:r>
      <w:proofErr w:type="spellStart"/>
      <w:r w:rsidRPr="008E0002">
        <w:rPr>
          <w:b/>
          <w:bCs/>
        </w:rPr>
        <w:t>VrInt_Resi</w:t>
      </w:r>
      <w:proofErr w:type="spellEnd"/>
      <w:r w:rsidRPr="008E0002">
        <w:rPr>
          <w:b/>
          <w:bCs/>
        </w:rPr>
        <w:t xml:space="preserve"> = 0 </w:t>
      </w:r>
      <w:r w:rsidRPr="008E0002">
        <w:rPr>
          <w:rFonts w:ascii="Cambria Math" w:hAnsi="Cambria Math" w:cs="Cambria Math"/>
          <w:b/>
          <w:bCs/>
        </w:rPr>
        <w:t>⇒</w:t>
      </w:r>
      <w:r w:rsidRPr="008E0002">
        <w:rPr>
          <w:b/>
          <w:bCs/>
        </w:rPr>
        <w:t xml:space="preserve"> valor_m2_media = promedio de los demás valores ≠ 0</w:t>
      </w:r>
    </w:p>
    <w:p w14:paraId="454271D5" w14:textId="77777777" w:rsidR="008E0002" w:rsidRPr="008E0002" w:rsidRDefault="008E0002" w:rsidP="008E0002">
      <w:pPr>
        <w:numPr>
          <w:ilvl w:val="0"/>
          <w:numId w:val="2"/>
        </w:numPr>
      </w:pPr>
      <w:r w:rsidRPr="008E0002">
        <w:t xml:space="preserve">Si </w:t>
      </w:r>
      <w:r w:rsidRPr="008E0002">
        <w:rPr>
          <w:i/>
          <w:iCs/>
        </w:rPr>
        <w:t>todos</w:t>
      </w:r>
      <w:r w:rsidRPr="008E0002">
        <w:t xml:space="preserve"> los valores = 0 </w:t>
      </w:r>
      <w:r w:rsidRPr="008E0002">
        <w:rPr>
          <w:rFonts w:ascii="Cambria Math" w:hAnsi="Cambria Math" w:cs="Cambria Math"/>
        </w:rPr>
        <w:t>⇒</w:t>
      </w:r>
      <w:r w:rsidRPr="008E0002">
        <w:t xml:space="preserve"> se descarta la manzana.</w:t>
      </w:r>
    </w:p>
    <w:p w14:paraId="04EE95DC" w14:textId="786A6F13" w:rsidR="008E0002" w:rsidRDefault="008E0002" w:rsidP="008E0002">
      <w:r>
        <w:t xml:space="preserve">Se </w:t>
      </w:r>
      <w:proofErr w:type="gramStart"/>
      <w:r>
        <w:t>manejara</w:t>
      </w:r>
      <w:proofErr w:type="gramEnd"/>
      <w:r>
        <w:t xml:space="preserve"> la regla y se sostiene porque el valor que buscamos es residencial que corresponde a </w:t>
      </w:r>
      <w:proofErr w:type="gramStart"/>
      <w:r>
        <w:t>vivienda</w:t>
      </w:r>
      <w:proofErr w:type="gramEnd"/>
      <w:r>
        <w:t xml:space="preserve"> pero si llegado al caso que no sea de ese tipo usaremos el promedio de los otros valores para tener un estimador esto teniendo en cuenta la renovación urbana actual de la ciudad</w:t>
      </w:r>
    </w:p>
    <w:p w14:paraId="24310749" w14:textId="77777777" w:rsidR="009A4DF4" w:rsidRPr="009A4DF4" w:rsidRDefault="009A4DF4" w:rsidP="009A4DF4">
      <w:r>
        <w:t xml:space="preserve">Hallazgos data set 2 </w:t>
      </w:r>
      <w:r>
        <w:br/>
      </w:r>
      <w:r>
        <w:br/>
      </w:r>
      <w:r w:rsidRPr="009A4DF4">
        <w:t xml:space="preserve">se identifican variables claves el campo </w:t>
      </w:r>
      <w:proofErr w:type="spellStart"/>
      <w:r w:rsidRPr="009A4DF4">
        <w:t>codigo_man</w:t>
      </w:r>
      <w:proofErr w:type="spellEnd"/>
      <w:r w:rsidRPr="009A4DF4">
        <w:t xml:space="preserve"> permite unir con el data set 1 </w:t>
      </w:r>
      <w:proofErr w:type="spellStart"/>
      <w:r w:rsidRPr="009A4DF4">
        <w:t>codigo</w:t>
      </w:r>
      <w:proofErr w:type="spellEnd"/>
      <w:r w:rsidRPr="009A4DF4">
        <w:t xml:space="preserve"> </w:t>
      </w:r>
      <w:proofErr w:type="spellStart"/>
      <w:r w:rsidRPr="009A4DF4">
        <w:t>Manzana_id</w:t>
      </w:r>
      <w:proofErr w:type="spellEnd"/>
      <w:r w:rsidRPr="009A4DF4">
        <w:t xml:space="preserve"> y </w:t>
      </w:r>
      <w:proofErr w:type="spellStart"/>
      <w:r w:rsidRPr="009A4DF4">
        <w:t>alli</w:t>
      </w:r>
      <w:proofErr w:type="spellEnd"/>
      <w:r w:rsidRPr="009A4DF4">
        <w:t xml:space="preserve"> </w:t>
      </w:r>
      <w:proofErr w:type="spellStart"/>
      <w:r w:rsidRPr="009A4DF4">
        <w:t>tendriamos</w:t>
      </w:r>
      <w:proofErr w:type="spellEnd"/>
      <w:r w:rsidRPr="009A4DF4">
        <w:t xml:space="preserve"> valor metro cuadrado y estrato que son factores importantes en la </w:t>
      </w:r>
      <w:proofErr w:type="spellStart"/>
      <w:r w:rsidRPr="009A4DF4">
        <w:t>prediccion</w:t>
      </w:r>
      <w:proofErr w:type="spellEnd"/>
      <w:r w:rsidRPr="009A4DF4">
        <w:t xml:space="preserve"> del precio </w:t>
      </w:r>
      <w:proofErr w:type="spellStart"/>
      <w:r w:rsidRPr="009A4DF4">
        <w:t>codigo</w:t>
      </w:r>
      <w:proofErr w:type="spellEnd"/>
      <w:r w:rsidRPr="009A4DF4">
        <w:t xml:space="preserve"> zona </w:t>
      </w:r>
      <w:proofErr w:type="spellStart"/>
      <w:r w:rsidRPr="009A4DF4">
        <w:t>podria</w:t>
      </w:r>
      <w:proofErr w:type="spellEnd"/>
      <w:r w:rsidRPr="009A4DF4">
        <w:t xml:space="preserve"> estar relacionado con la localidad que </w:t>
      </w:r>
      <w:proofErr w:type="spellStart"/>
      <w:r w:rsidRPr="009A4DF4">
        <w:t>tambien</w:t>
      </w:r>
      <w:proofErr w:type="spellEnd"/>
      <w:r w:rsidRPr="009A4DF4">
        <w:t xml:space="preserve"> es importante en caso dado </w:t>
      </w:r>
      <w:proofErr w:type="spellStart"/>
      <w:r w:rsidRPr="009A4DF4">
        <w:t>podria</w:t>
      </w:r>
      <w:proofErr w:type="spellEnd"/>
      <w:r w:rsidRPr="009A4DF4">
        <w:t xml:space="preserve"> servir los </w:t>
      </w:r>
      <w:proofErr w:type="spellStart"/>
      <w:r w:rsidRPr="009A4DF4">
        <w:t>shape</w:t>
      </w:r>
      <w:proofErr w:type="spellEnd"/>
      <w:r w:rsidRPr="009A4DF4">
        <w:t xml:space="preserve"> y el </w:t>
      </w:r>
      <w:proofErr w:type="spellStart"/>
      <w:r w:rsidRPr="009A4DF4">
        <w:t>geometry</w:t>
      </w:r>
      <w:proofErr w:type="spellEnd"/>
      <w:r w:rsidRPr="009A4DF4">
        <w:t xml:space="preserve"> que posiblemente este alineado con el data set 1.</w:t>
      </w:r>
    </w:p>
    <w:p w14:paraId="07F14EC5" w14:textId="77777777" w:rsidR="009A4DF4" w:rsidRPr="009A4DF4" w:rsidRDefault="009A4DF4" w:rsidP="009A4DF4">
      <w:r w:rsidRPr="009A4DF4">
        <w:t xml:space="preserve">los otros campos son </w:t>
      </w:r>
      <w:proofErr w:type="spellStart"/>
      <w:r w:rsidRPr="009A4DF4">
        <w:t>informacion</w:t>
      </w:r>
      <w:proofErr w:type="spellEnd"/>
      <w:r w:rsidRPr="009A4DF4">
        <w:t xml:space="preserve"> adicional que </w:t>
      </w:r>
      <w:proofErr w:type="spellStart"/>
      <w:r w:rsidRPr="009A4DF4">
        <w:t>podria</w:t>
      </w:r>
      <w:proofErr w:type="spellEnd"/>
      <w:r w:rsidRPr="009A4DF4">
        <w:t xml:space="preserve"> no aportar a este trabajo</w:t>
      </w:r>
    </w:p>
    <w:p w14:paraId="02E391E0" w14:textId="4F678779" w:rsidR="008E0002" w:rsidRDefault="008E0002" w:rsidP="008E0002"/>
    <w:p w14:paraId="75584B47" w14:textId="77777777" w:rsidR="009A4DF4" w:rsidRPr="009A4DF4" w:rsidRDefault="009A4DF4" w:rsidP="009A4DF4">
      <w:pPr>
        <w:rPr>
          <w:b/>
          <w:bCs/>
        </w:rPr>
      </w:pPr>
      <w:r w:rsidRPr="009A4DF4">
        <w:rPr>
          <w:rFonts w:ascii="Segoe UI Emoji" w:hAnsi="Segoe UI Emoji" w:cs="Segoe UI Emoji"/>
          <w:b/>
          <w:bCs/>
        </w:rPr>
        <w:t>📄</w:t>
      </w:r>
      <w:r w:rsidRPr="009A4DF4">
        <w:rPr>
          <w:b/>
          <w:bCs/>
        </w:rPr>
        <w:t xml:space="preserve"> Documentación para Capítulo 4 (Metodología)</w:t>
      </w:r>
    </w:p>
    <w:p w14:paraId="574CE1CC" w14:textId="77777777" w:rsidR="009A4DF4" w:rsidRPr="009A4DF4" w:rsidRDefault="009A4DF4" w:rsidP="009A4DF4">
      <w:r w:rsidRPr="009A4DF4">
        <w:t xml:space="preserve">“El </w:t>
      </w:r>
      <w:proofErr w:type="spellStart"/>
      <w:r w:rsidRPr="009A4DF4">
        <w:t>dataset</w:t>
      </w:r>
      <w:proofErr w:type="spellEnd"/>
      <w:r w:rsidRPr="009A4DF4">
        <w:t xml:space="preserve"> de estratificación fue transformado para conservar únicamente la información relevante para el modelo predictivo: código de manzana (</w:t>
      </w:r>
      <w:proofErr w:type="spellStart"/>
      <w:r w:rsidRPr="009A4DF4">
        <w:t>id_manzana</w:t>
      </w:r>
      <w:proofErr w:type="spellEnd"/>
      <w:r w:rsidRPr="009A4DF4">
        <w:t>), estrato socioeconómico (estrato) y geometría (</w:t>
      </w:r>
      <w:proofErr w:type="spellStart"/>
      <w:r w:rsidRPr="009A4DF4">
        <w:t>geometry</w:t>
      </w:r>
      <w:proofErr w:type="spellEnd"/>
      <w:r w:rsidRPr="009A4DF4">
        <w:t>).</w:t>
      </w:r>
      <w:r w:rsidRPr="009A4DF4">
        <w:br/>
        <w:t xml:space="preserve">Los datos fueron emparejados con el conjunto base usando </w:t>
      </w:r>
      <w:proofErr w:type="spellStart"/>
      <w:r w:rsidRPr="009A4DF4">
        <w:t>id_manzana</w:t>
      </w:r>
      <w:proofErr w:type="spellEnd"/>
      <w:r w:rsidRPr="009A4DF4">
        <w:t>. Se descartaron campos normativos, metadatos y área duplicada para evitar redundancia.”</w:t>
      </w:r>
    </w:p>
    <w:p w14:paraId="70C7C2A4" w14:textId="77777777" w:rsidR="009A4DF4" w:rsidRDefault="009A4DF4" w:rsidP="008E0002"/>
    <w:p w14:paraId="47F58D55" w14:textId="77777777" w:rsidR="009A4DF4" w:rsidRDefault="009A4DF4" w:rsidP="008E0002"/>
    <w:p w14:paraId="799712BB" w14:textId="77777777" w:rsidR="003E3CCE" w:rsidRPr="003E3CCE" w:rsidRDefault="003E3CCE" w:rsidP="003E3CCE">
      <w:r w:rsidRPr="003E3CCE">
        <w:t xml:space="preserve">Gracias por confirmar. El resultado </w:t>
      </w:r>
      <w:r w:rsidRPr="003E3CCE">
        <w:rPr>
          <w:b/>
          <w:bCs/>
        </w:rPr>
        <w:t>23 de 10.277 (≈0.22%) con intersección espacial</w:t>
      </w:r>
      <w:r w:rsidRPr="003E3CCE">
        <w:t xml:space="preserve"> confirma que:</w:t>
      </w:r>
    </w:p>
    <w:p w14:paraId="33B693F5" w14:textId="77777777" w:rsidR="003E3CCE" w:rsidRPr="003E3CCE" w:rsidRDefault="003E3CCE" w:rsidP="003E3CCE">
      <w:r w:rsidRPr="003E3CCE">
        <w:rPr>
          <w:rFonts w:ascii="Segoe UI Emoji" w:hAnsi="Segoe UI Emoji" w:cs="Segoe UI Emoji"/>
        </w:rPr>
        <w:lastRenderedPageBreak/>
        <w:t>🔴</w:t>
      </w:r>
      <w:r w:rsidRPr="003E3CCE">
        <w:t xml:space="preserve"> </w:t>
      </w:r>
      <w:r w:rsidRPr="003E3CCE">
        <w:rPr>
          <w:b/>
          <w:bCs/>
        </w:rPr>
        <w:t>Las geometrías entre valor_m2 y estrato no son compatibles para hacer unión espacial directa.</w:t>
      </w:r>
    </w:p>
    <w:p w14:paraId="7E56F9F0" w14:textId="77777777" w:rsidR="003E3CCE" w:rsidRPr="003E3CCE" w:rsidRDefault="00000000" w:rsidP="003E3CCE">
      <w:r>
        <w:pict w14:anchorId="76CBEA20">
          <v:rect id="_x0000_i1025" style="width:0;height:1.5pt" o:hralign="center" o:hrstd="t" o:hr="t" fillcolor="#a0a0a0" stroked="f"/>
        </w:pict>
      </w:r>
    </w:p>
    <w:p w14:paraId="69BF6784" w14:textId="77777777" w:rsidR="003E3CCE" w:rsidRPr="003E3CCE" w:rsidRDefault="003E3CCE" w:rsidP="003E3CCE">
      <w:pPr>
        <w:rPr>
          <w:b/>
          <w:bCs/>
        </w:rPr>
      </w:pPr>
      <w:r w:rsidRPr="003E3CCE">
        <w:rPr>
          <w:rFonts w:ascii="Segoe UI Emoji" w:hAnsi="Segoe UI Emoji" w:cs="Segoe UI Emoji"/>
          <w:b/>
          <w:bCs/>
        </w:rPr>
        <w:t>🔍</w:t>
      </w:r>
      <w:r w:rsidRPr="003E3CCE">
        <w:rPr>
          <w:b/>
          <w:bCs/>
        </w:rPr>
        <w:t xml:space="preserve"> Conclusión técnica</w:t>
      </w:r>
    </w:p>
    <w:p w14:paraId="6EF3328E" w14:textId="77777777" w:rsidR="003E3CCE" w:rsidRPr="003E3CCE" w:rsidRDefault="003E3CCE" w:rsidP="003E3CCE">
      <w:r w:rsidRPr="003E3CCE">
        <w:t>Esto sugiere que:</w:t>
      </w:r>
    </w:p>
    <w:p w14:paraId="02E7583E" w14:textId="77777777" w:rsidR="003E3CCE" w:rsidRPr="003E3CCE" w:rsidRDefault="003E3CCE" w:rsidP="003E3CCE">
      <w:pPr>
        <w:numPr>
          <w:ilvl w:val="0"/>
          <w:numId w:val="3"/>
        </w:numPr>
      </w:pPr>
      <w:r w:rsidRPr="003E3CCE">
        <w:t xml:space="preserve">Ambos </w:t>
      </w:r>
      <w:proofErr w:type="spellStart"/>
      <w:r w:rsidRPr="003E3CCE">
        <w:t>datasets</w:t>
      </w:r>
      <w:proofErr w:type="spellEnd"/>
      <w:r w:rsidRPr="003E3CCE">
        <w:t xml:space="preserve"> se </w:t>
      </w:r>
      <w:r w:rsidRPr="003E3CCE">
        <w:rPr>
          <w:b/>
          <w:bCs/>
        </w:rPr>
        <w:t>refieren a manzanas catastrales</w:t>
      </w:r>
      <w:r w:rsidRPr="003E3CCE">
        <w:t xml:space="preserve">, pero fueron construidos con </w:t>
      </w:r>
      <w:r w:rsidRPr="003E3CCE">
        <w:rPr>
          <w:b/>
          <w:bCs/>
        </w:rPr>
        <w:t>bases geográficas distintas</w:t>
      </w:r>
      <w:r w:rsidRPr="003E3CCE">
        <w:t>, o</w:t>
      </w:r>
    </w:p>
    <w:p w14:paraId="0030F04F" w14:textId="77777777" w:rsidR="003E3CCE" w:rsidRPr="003E3CCE" w:rsidRDefault="003E3CCE" w:rsidP="003E3CCE">
      <w:pPr>
        <w:numPr>
          <w:ilvl w:val="0"/>
          <w:numId w:val="3"/>
        </w:numPr>
      </w:pPr>
      <w:r w:rsidRPr="003E3CCE">
        <w:t>Están proyectados de manera distinta, o</w:t>
      </w:r>
    </w:p>
    <w:p w14:paraId="707FB980" w14:textId="77777777" w:rsidR="003E3CCE" w:rsidRPr="003E3CCE" w:rsidRDefault="003E3CCE" w:rsidP="003E3CCE">
      <w:pPr>
        <w:numPr>
          <w:ilvl w:val="0"/>
          <w:numId w:val="3"/>
        </w:numPr>
      </w:pPr>
      <w:r w:rsidRPr="003E3CCE">
        <w:t>Usan recortes geográficos no alineados (</w:t>
      </w:r>
      <w:proofErr w:type="spellStart"/>
      <w:r w:rsidRPr="003E3CCE">
        <w:t>e.g</w:t>
      </w:r>
      <w:proofErr w:type="spellEnd"/>
      <w:r w:rsidRPr="003E3CCE">
        <w:t>., límites desplazados o desfasados por versión catastral).</w:t>
      </w:r>
    </w:p>
    <w:p w14:paraId="6EFC5A2E" w14:textId="77777777" w:rsidR="003E3CCE" w:rsidRPr="003E3CCE" w:rsidRDefault="00000000" w:rsidP="003E3CCE">
      <w:r>
        <w:pict w14:anchorId="07E1B987">
          <v:rect id="_x0000_i1026" style="width:0;height:1.5pt" o:hralign="center" o:hrstd="t" o:hr="t" fillcolor="#a0a0a0" stroked="f"/>
        </w:pict>
      </w:r>
    </w:p>
    <w:p w14:paraId="621C7BF0" w14:textId="77777777" w:rsidR="003E3CCE" w:rsidRPr="003E3CCE" w:rsidRDefault="003E3CCE" w:rsidP="003E3CCE">
      <w:pPr>
        <w:rPr>
          <w:b/>
          <w:bCs/>
        </w:rPr>
      </w:pPr>
      <w:r w:rsidRPr="003E3CCE">
        <w:rPr>
          <w:rFonts w:ascii="Segoe UI Emoji" w:hAnsi="Segoe UI Emoji" w:cs="Segoe UI Emoji"/>
          <w:b/>
          <w:bCs/>
        </w:rPr>
        <w:t>✅</w:t>
      </w:r>
      <w:r w:rsidRPr="003E3CCE">
        <w:rPr>
          <w:b/>
          <w:bCs/>
        </w:rPr>
        <w:t xml:space="preserve"> Recomendación para tu TFM</w:t>
      </w:r>
    </w:p>
    <w:p w14:paraId="79CB8F4F" w14:textId="77777777" w:rsidR="003E3CCE" w:rsidRPr="003E3CCE" w:rsidRDefault="003E3CCE" w:rsidP="003E3CCE">
      <w:r w:rsidRPr="003E3CCE">
        <w:rPr>
          <w:rFonts w:ascii="Segoe UI Emoji" w:hAnsi="Segoe UI Emoji" w:cs="Segoe UI Emoji"/>
        </w:rPr>
        <w:t>💡</w:t>
      </w:r>
      <w:r w:rsidRPr="003E3CCE">
        <w:t xml:space="preserve"> </w:t>
      </w:r>
      <w:r w:rsidRPr="003E3CCE">
        <w:rPr>
          <w:b/>
          <w:bCs/>
        </w:rPr>
        <w:t>Mantente con el cruce por ID truncado (</w:t>
      </w:r>
      <w:proofErr w:type="spellStart"/>
      <w:r w:rsidRPr="003E3CCE">
        <w:rPr>
          <w:b/>
          <w:bCs/>
        </w:rPr>
        <w:t>Manzana_</w:t>
      </w:r>
      <w:proofErr w:type="gramStart"/>
      <w:r w:rsidRPr="003E3CCE">
        <w:rPr>
          <w:b/>
          <w:bCs/>
        </w:rPr>
        <w:t>Id</w:t>
      </w:r>
      <w:proofErr w:type="spellEnd"/>
      <w:r w:rsidRPr="003E3CCE">
        <w:rPr>
          <w:b/>
          <w:bCs/>
        </w:rPr>
        <w:t>[</w:t>
      </w:r>
      <w:proofErr w:type="gramEnd"/>
      <w:r w:rsidRPr="003E3CCE">
        <w:rPr>
          <w:b/>
          <w:bCs/>
        </w:rPr>
        <w:t>:8] == CODIGO_MAN)</w:t>
      </w:r>
      <w:r w:rsidRPr="003E3CCE">
        <w:t xml:space="preserve">, que te dio más de </w:t>
      </w:r>
      <w:r w:rsidRPr="003E3CCE">
        <w:rPr>
          <w:b/>
          <w:bCs/>
        </w:rPr>
        <w:t>10.000 emparejamientos exitosos</w:t>
      </w:r>
      <w:r w:rsidRPr="003E3CCE">
        <w:t>, y documenta que se descartó la validación por geometría debido a diferencias topológicas entre fuentes oficiales.</w:t>
      </w:r>
    </w:p>
    <w:p w14:paraId="1145C3D6" w14:textId="77777777" w:rsidR="003E3CCE" w:rsidRPr="003E3CCE" w:rsidRDefault="003E3CCE" w:rsidP="003E3CCE">
      <w:pPr>
        <w:rPr>
          <w:b/>
          <w:bCs/>
        </w:rPr>
      </w:pPr>
      <w:r w:rsidRPr="003E3CCE">
        <w:rPr>
          <w:b/>
          <w:bCs/>
        </w:rPr>
        <w:t>Texto sugerido para tu capítulo metodológico:</w:t>
      </w:r>
    </w:p>
    <w:p w14:paraId="3C769F37" w14:textId="77777777" w:rsidR="003E3CCE" w:rsidRPr="003E3CCE" w:rsidRDefault="003E3CCE" w:rsidP="003E3CCE">
      <w:r w:rsidRPr="003E3CCE">
        <w:t xml:space="preserve">Aunque ambos </w:t>
      </w:r>
      <w:proofErr w:type="spellStart"/>
      <w:r w:rsidRPr="003E3CCE">
        <w:t>datasets</w:t>
      </w:r>
      <w:proofErr w:type="spellEnd"/>
      <w:r w:rsidRPr="003E3CCE">
        <w:t xml:space="preserve"> contenían geometrías espaciales referidas a manzanas catastrales, se evidenciaron diferencias cartográficas que impidieron una fusión espacial directa mediante funciones como </w:t>
      </w:r>
      <w:proofErr w:type="spellStart"/>
      <w:proofErr w:type="gramStart"/>
      <w:r w:rsidRPr="003E3CCE">
        <w:t>within</w:t>
      </w:r>
      <w:proofErr w:type="spellEnd"/>
      <w:r w:rsidRPr="003E3CCE">
        <w:t>(</w:t>
      </w:r>
      <w:proofErr w:type="gramEnd"/>
      <w:r w:rsidRPr="003E3CCE">
        <w:t xml:space="preserve">) o </w:t>
      </w:r>
      <w:proofErr w:type="spellStart"/>
      <w:proofErr w:type="gramStart"/>
      <w:r w:rsidRPr="003E3CCE">
        <w:t>intersects</w:t>
      </w:r>
      <w:proofErr w:type="spellEnd"/>
      <w:r w:rsidRPr="003E3CCE">
        <w:t>(</w:t>
      </w:r>
      <w:proofErr w:type="gramEnd"/>
      <w:r w:rsidRPr="003E3CCE">
        <w:t xml:space="preserve">). Por tanto, se optó por utilizar como clave de unión el campo </w:t>
      </w:r>
      <w:proofErr w:type="spellStart"/>
      <w:r w:rsidRPr="003E3CCE">
        <w:t>id_manzana</w:t>
      </w:r>
      <w:proofErr w:type="spellEnd"/>
      <w:r w:rsidRPr="003E3CCE">
        <w:t xml:space="preserve">, obtenido por truncamiento de </w:t>
      </w:r>
      <w:proofErr w:type="spellStart"/>
      <w:r w:rsidRPr="003E3CCE">
        <w:t>Manzana_Id</w:t>
      </w:r>
      <w:proofErr w:type="spellEnd"/>
      <w:r w:rsidRPr="003E3CCE">
        <w:t xml:space="preserve"> a 8 dígitos para equipararlo con CODIGO_MAN. Esta estrategia permitió fusionar exitosamente más del 69% de las manzanas catastrales disponibles en el </w:t>
      </w:r>
      <w:proofErr w:type="spellStart"/>
      <w:r w:rsidRPr="003E3CCE">
        <w:t>dataset</w:t>
      </w:r>
      <w:proofErr w:type="spellEnd"/>
      <w:r w:rsidRPr="003E3CCE">
        <w:t xml:space="preserve"> de valor del suelo.</w:t>
      </w:r>
    </w:p>
    <w:p w14:paraId="44B1BE65" w14:textId="77777777" w:rsidR="00F90092" w:rsidRPr="00F90092" w:rsidRDefault="00F90092" w:rsidP="00F90092">
      <w:r w:rsidRPr="00F90092">
        <w:t xml:space="preserve">Aquí tienes un texto riguroso para incluir en tu </w:t>
      </w:r>
      <w:r w:rsidRPr="00F90092">
        <w:rPr>
          <w:b/>
          <w:bCs/>
        </w:rPr>
        <w:t>capítulo metodológico (fase “Comprensión de los datos” de CRISP-DM)</w:t>
      </w:r>
      <w:r w:rsidRPr="00F90092">
        <w:t xml:space="preserve">, que explica por qué se descartó la unión por código de manzana y se optó por un cruce espacial. También se incluye cómo referenciar el </w:t>
      </w:r>
      <w:r w:rsidRPr="00F90092">
        <w:rPr>
          <w:b/>
          <w:bCs/>
        </w:rPr>
        <w:t>código predial nacional</w:t>
      </w:r>
      <w:r w:rsidRPr="00F90092">
        <w:t xml:space="preserve"> y la estructura del identificador de manzana en Colombia:</w:t>
      </w:r>
    </w:p>
    <w:p w14:paraId="71E1FD82" w14:textId="77777777" w:rsidR="00F90092" w:rsidRPr="00F90092" w:rsidRDefault="00000000" w:rsidP="00F90092">
      <w:r>
        <w:pict w14:anchorId="1CEDA482">
          <v:rect id="_x0000_i1027" style="width:0;height:1.5pt" o:hralign="center" o:hrstd="t" o:hr="t" fillcolor="#a0a0a0" stroked="f"/>
        </w:pict>
      </w:r>
    </w:p>
    <w:p w14:paraId="05C755BF" w14:textId="77777777" w:rsidR="00F90092" w:rsidRPr="00F90092" w:rsidRDefault="00F90092" w:rsidP="00F90092">
      <w:pPr>
        <w:rPr>
          <w:b/>
          <w:bCs/>
        </w:rPr>
      </w:pPr>
      <w:r w:rsidRPr="00F90092">
        <w:rPr>
          <w:rFonts w:ascii="Segoe UI Emoji" w:hAnsi="Segoe UI Emoji" w:cs="Segoe UI Emoji"/>
          <w:b/>
          <w:bCs/>
        </w:rPr>
        <w:t>🔍</w:t>
      </w:r>
      <w:r w:rsidRPr="00F90092">
        <w:rPr>
          <w:b/>
          <w:bCs/>
        </w:rPr>
        <w:t xml:space="preserve"> Fragmento redactado para el TFM</w:t>
      </w:r>
    </w:p>
    <w:p w14:paraId="4B313B0E" w14:textId="77777777" w:rsidR="00F90092" w:rsidRPr="00F90092" w:rsidRDefault="00F90092" w:rsidP="00F90092">
      <w:r w:rsidRPr="00F90092">
        <w:t xml:space="preserve">Para consolidar las variables clave provenientes de múltiples fuentes, se intentó inicialmente empatar las manzanas del </w:t>
      </w:r>
      <w:proofErr w:type="spellStart"/>
      <w:r w:rsidRPr="00F90092">
        <w:t>dataset</w:t>
      </w:r>
      <w:proofErr w:type="spellEnd"/>
      <w:r w:rsidRPr="00F90092">
        <w:t xml:space="preserve"> de valor catastral (valor_m2) con las del </w:t>
      </w:r>
      <w:proofErr w:type="spellStart"/>
      <w:r w:rsidRPr="00F90092">
        <w:lastRenderedPageBreak/>
        <w:t>dataset</w:t>
      </w:r>
      <w:proofErr w:type="spellEnd"/>
      <w:r w:rsidRPr="00F90092">
        <w:t xml:space="preserve"> de estratificación socioeconómica (estrato) a través de sus respectivos identificadores textuales: </w:t>
      </w:r>
      <w:proofErr w:type="spellStart"/>
      <w:r w:rsidRPr="00F90092">
        <w:t>Manzana_Id</w:t>
      </w:r>
      <w:proofErr w:type="spellEnd"/>
      <w:r w:rsidRPr="00F90092">
        <w:t xml:space="preserve"> y CODIGO_MAN. Sin embargo, tras revisar las estructuras de ambos campos, se encontró que estos </w:t>
      </w:r>
      <w:r w:rsidRPr="00F90092">
        <w:rPr>
          <w:b/>
          <w:bCs/>
        </w:rPr>
        <w:t>no comparten una codificación común que permita una unión directa confiable</w:t>
      </w:r>
      <w:r w:rsidRPr="00F90092">
        <w:t>.</w:t>
      </w:r>
    </w:p>
    <w:p w14:paraId="3AB36A8B" w14:textId="77777777" w:rsidR="00F90092" w:rsidRPr="00F90092" w:rsidRDefault="00F90092" w:rsidP="00F90092">
      <w:r w:rsidRPr="00F90092">
        <w:t xml:space="preserve">El identificador </w:t>
      </w:r>
      <w:proofErr w:type="spellStart"/>
      <w:r w:rsidRPr="00F90092">
        <w:t>Manzana_Id</w:t>
      </w:r>
      <w:proofErr w:type="spellEnd"/>
      <w:r w:rsidRPr="00F90092">
        <w:t xml:space="preserve"> en el </w:t>
      </w:r>
      <w:proofErr w:type="spellStart"/>
      <w:r w:rsidRPr="00F90092">
        <w:t>dataset</w:t>
      </w:r>
      <w:proofErr w:type="spellEnd"/>
      <w:r w:rsidRPr="00F90092">
        <w:t xml:space="preserve"> catastral posee 9 dígitos y corresponde a un código interno generado por la UAECD. Por su parte, el campo CODIGO_MAN en el </w:t>
      </w:r>
      <w:proofErr w:type="spellStart"/>
      <w:r w:rsidRPr="00F90092">
        <w:t>dataset</w:t>
      </w:r>
      <w:proofErr w:type="spellEnd"/>
      <w:r w:rsidRPr="00F90092">
        <w:t xml:space="preserve"> de estratificación cuenta con 8 dígitos y corresponde a una codificación territorial administrada por IDECA. De acuerdo con el Instituto Geográfico Agustín Codazzi (IGAC), la estructura general del </w:t>
      </w:r>
      <w:r w:rsidRPr="00F90092">
        <w:rPr>
          <w:b/>
          <w:bCs/>
        </w:rPr>
        <w:t>código predial nacional</w:t>
      </w:r>
      <w:r w:rsidRPr="00F90092">
        <w:t xml:space="preserve"> contempla hasta 30 dígitos y asigna posiciones específicas a elementos como departamento, municipio, zona, sector y manzana (posiciones 14 a 17) (IGAC, 2021</w:t>
      </w:r>
      <w:proofErr w:type="gramStart"/>
      <w:r w:rsidRPr="00F90092">
        <w:t>) .</w:t>
      </w:r>
      <w:proofErr w:type="gramEnd"/>
      <w:r w:rsidRPr="00F90092">
        <w:t xml:space="preserve"> En este caso, </w:t>
      </w:r>
      <w:r w:rsidRPr="00F90092">
        <w:rPr>
          <w:b/>
          <w:bCs/>
        </w:rPr>
        <w:t xml:space="preserve">los identificadores presentes en ambos </w:t>
      </w:r>
      <w:proofErr w:type="spellStart"/>
      <w:r w:rsidRPr="00F90092">
        <w:rPr>
          <w:b/>
          <w:bCs/>
        </w:rPr>
        <w:t>datasets</w:t>
      </w:r>
      <w:proofErr w:type="spellEnd"/>
      <w:r w:rsidRPr="00F90092">
        <w:rPr>
          <w:b/>
          <w:bCs/>
        </w:rPr>
        <w:t xml:space="preserve"> no corresponden exactamente a esa estructura oficial, y su segmentación no permite una equivalencia funcional</w:t>
      </w:r>
      <w:r w:rsidRPr="00F90092">
        <w:t>.</w:t>
      </w:r>
    </w:p>
    <w:p w14:paraId="100B23E6" w14:textId="77777777" w:rsidR="00F90092" w:rsidRPr="00F90092" w:rsidRDefault="00F90092" w:rsidP="00F90092">
      <w:r w:rsidRPr="00F90092">
        <w:t xml:space="preserve">Ante esta incompatibilidad estructural, se optó por una estrategia más robusta: la </w:t>
      </w:r>
      <w:r w:rsidRPr="00F90092">
        <w:rPr>
          <w:b/>
          <w:bCs/>
        </w:rPr>
        <w:t>unión espacial (</w:t>
      </w:r>
      <w:proofErr w:type="spellStart"/>
      <w:r w:rsidRPr="00F90092">
        <w:rPr>
          <w:b/>
          <w:bCs/>
        </w:rPr>
        <w:t>sjoin</w:t>
      </w:r>
      <w:proofErr w:type="spellEnd"/>
      <w:r w:rsidRPr="00F90092">
        <w:rPr>
          <w:b/>
          <w:bCs/>
        </w:rPr>
        <w:t>) mediante intersección de geometrías</w:t>
      </w:r>
      <w:r w:rsidRPr="00F90092">
        <w:t xml:space="preserve">. Para ello, ambos </w:t>
      </w:r>
      <w:proofErr w:type="spellStart"/>
      <w:r w:rsidRPr="00F90092">
        <w:t>datasets</w:t>
      </w:r>
      <w:proofErr w:type="spellEnd"/>
      <w:r w:rsidRPr="00F90092">
        <w:t xml:space="preserve"> fueron </w:t>
      </w:r>
      <w:proofErr w:type="spellStart"/>
      <w:r w:rsidRPr="00F90092">
        <w:t>reproyectados</w:t>
      </w:r>
      <w:proofErr w:type="spellEnd"/>
      <w:r w:rsidRPr="00F90092">
        <w:t xml:space="preserve"> a un sistema de coordenadas métrico (EPSG:3116 – MAGNA-SIRGAS) y se aplicó la operación </w:t>
      </w:r>
      <w:proofErr w:type="spellStart"/>
      <w:proofErr w:type="gramStart"/>
      <w:r w:rsidRPr="00F90092">
        <w:t>intersects</w:t>
      </w:r>
      <w:proofErr w:type="spellEnd"/>
      <w:r w:rsidRPr="00F90092">
        <w:t>(</w:t>
      </w:r>
      <w:proofErr w:type="gramEnd"/>
      <w:r w:rsidRPr="00F90092">
        <w:t xml:space="preserve">) para asignar el estrato correspondiente a cada manzana catastral. Esta técnica permitió asignar valores de estrato válidos al </w:t>
      </w:r>
      <w:r w:rsidRPr="00F90092">
        <w:rPr>
          <w:b/>
          <w:bCs/>
        </w:rPr>
        <w:t>99.9% de las manzanas</w:t>
      </w:r>
      <w:r w:rsidRPr="00F90092">
        <w:t xml:space="preserve"> con información de valor del suelo (14.755 registros), garantizando coherencia geográfica sin depender de claves textuales inestables.</w:t>
      </w:r>
    </w:p>
    <w:p w14:paraId="166CFA63" w14:textId="77777777" w:rsidR="00F90092" w:rsidRPr="00F90092" w:rsidRDefault="00F90092" w:rsidP="00F90092">
      <w:r w:rsidRPr="00F90092">
        <w:t xml:space="preserve">Este procedimiento no solo preserva la precisión territorial, sino que </w:t>
      </w:r>
      <w:r w:rsidRPr="00F90092">
        <w:rPr>
          <w:b/>
          <w:bCs/>
        </w:rPr>
        <w:t xml:space="preserve">respalda la calidad del </w:t>
      </w:r>
      <w:proofErr w:type="spellStart"/>
      <w:r w:rsidRPr="00F90092">
        <w:rPr>
          <w:b/>
          <w:bCs/>
        </w:rPr>
        <w:t>dataset</w:t>
      </w:r>
      <w:proofErr w:type="spellEnd"/>
      <w:r w:rsidRPr="00F90092">
        <w:rPr>
          <w:b/>
          <w:bCs/>
        </w:rPr>
        <w:t xml:space="preserve"> maestro de modelado</w:t>
      </w:r>
      <w:r w:rsidRPr="00F90092">
        <w:t xml:space="preserve"> con una asignación robusta de las variables socioespaciales.</w:t>
      </w:r>
    </w:p>
    <w:p w14:paraId="6DCE548B" w14:textId="77777777" w:rsidR="00F90092" w:rsidRPr="00F90092" w:rsidRDefault="00000000" w:rsidP="00F90092">
      <w:r>
        <w:pict w14:anchorId="63CCD91B">
          <v:rect id="_x0000_i1028" style="width:0;height:1.5pt" o:hralign="center" o:hrstd="t" o:hr="t" fillcolor="#a0a0a0" stroked="f"/>
        </w:pict>
      </w:r>
    </w:p>
    <w:p w14:paraId="1F8E5B9F" w14:textId="77777777" w:rsidR="00F90092" w:rsidRPr="00F90092" w:rsidRDefault="00F90092" w:rsidP="00F90092">
      <w:pPr>
        <w:rPr>
          <w:b/>
          <w:bCs/>
        </w:rPr>
      </w:pPr>
      <w:r w:rsidRPr="00F90092">
        <w:rPr>
          <w:rFonts w:ascii="Segoe UI Emoji" w:hAnsi="Segoe UI Emoji" w:cs="Segoe UI Emoji"/>
          <w:b/>
          <w:bCs/>
        </w:rPr>
        <w:t>📚</w:t>
      </w:r>
      <w:r w:rsidRPr="00F90092">
        <w:rPr>
          <w:b/>
          <w:bCs/>
        </w:rPr>
        <w:t xml:space="preserve"> Referencia para Zotero (formato APA 7)</w:t>
      </w:r>
    </w:p>
    <w:p w14:paraId="335DB7CE" w14:textId="77777777" w:rsidR="00F90092" w:rsidRPr="00F90092" w:rsidRDefault="00F90092" w:rsidP="00F90092">
      <w:pPr>
        <w:numPr>
          <w:ilvl w:val="0"/>
          <w:numId w:val="4"/>
        </w:numPr>
      </w:pPr>
      <w:r w:rsidRPr="00F90092">
        <w:t xml:space="preserve">Instituto Geográfico Agustín Codazzi – IGAC. (2021). </w:t>
      </w:r>
      <w:r w:rsidRPr="00F90092">
        <w:rPr>
          <w:i/>
          <w:iCs/>
        </w:rPr>
        <w:t>Manual técnico para la implementación del Código Predial Nacional (CPN)</w:t>
      </w:r>
      <w:r w:rsidRPr="00F90092">
        <w:t>. Bogotá D.C. Recuperado de https://www.igac.gov.co/sites/igac.gov.co/files/documentos/Manual_tecnico_CPN.pdf</w:t>
      </w:r>
    </w:p>
    <w:p w14:paraId="3D2C258A" w14:textId="77777777" w:rsidR="009A4DF4" w:rsidRDefault="009A4DF4" w:rsidP="008E0002"/>
    <w:p w14:paraId="061C88DA" w14:textId="0FBAD2E3" w:rsidR="00F90092" w:rsidRDefault="00F90092">
      <w:r>
        <w:br w:type="page"/>
      </w:r>
    </w:p>
    <w:p w14:paraId="12C79CB3" w14:textId="77777777" w:rsidR="00F90092" w:rsidRPr="00F90092" w:rsidRDefault="00F90092" w:rsidP="00F90092">
      <w:pPr>
        <w:rPr>
          <w:b/>
          <w:bCs/>
        </w:rPr>
      </w:pPr>
      <w:r w:rsidRPr="00F90092">
        <w:rPr>
          <w:b/>
          <w:bCs/>
        </w:rPr>
        <w:lastRenderedPageBreak/>
        <w:t xml:space="preserve">Variables </w:t>
      </w:r>
      <w:proofErr w:type="gramStart"/>
      <w:r w:rsidRPr="00F90092">
        <w:rPr>
          <w:b/>
          <w:bCs/>
        </w:rPr>
        <w:t>clave ahora disponibles</w:t>
      </w:r>
      <w:proofErr w:type="gramEnd"/>
      <w:r w:rsidRPr="00F90092">
        <w:rPr>
          <w:b/>
          <w:bCs/>
        </w:rPr>
        <w:t xml:space="preserve"> en el </w:t>
      </w:r>
      <w:proofErr w:type="spellStart"/>
      <w:r w:rsidRPr="00F90092">
        <w:rPr>
          <w:b/>
          <w:bCs/>
        </w:rPr>
        <w:t>dataset</w:t>
      </w:r>
      <w:proofErr w:type="spellEnd"/>
      <w:r w:rsidRPr="00F90092">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4351"/>
      </w:tblGrid>
      <w:tr w:rsidR="00F90092" w:rsidRPr="00F90092" w14:paraId="1A7AC3B1" w14:textId="77777777" w:rsidTr="00F90092">
        <w:trPr>
          <w:tblHeader/>
          <w:tblCellSpacing w:w="15" w:type="dxa"/>
        </w:trPr>
        <w:tc>
          <w:tcPr>
            <w:tcW w:w="0" w:type="auto"/>
            <w:vAlign w:val="center"/>
            <w:hideMark/>
          </w:tcPr>
          <w:p w14:paraId="0ED34D8E" w14:textId="77777777" w:rsidR="00F90092" w:rsidRPr="00F90092" w:rsidRDefault="00F90092" w:rsidP="00F90092">
            <w:pPr>
              <w:rPr>
                <w:b/>
                <w:bCs/>
              </w:rPr>
            </w:pPr>
            <w:r w:rsidRPr="00F90092">
              <w:rPr>
                <w:b/>
                <w:bCs/>
              </w:rPr>
              <w:t>Variable</w:t>
            </w:r>
          </w:p>
        </w:tc>
        <w:tc>
          <w:tcPr>
            <w:tcW w:w="0" w:type="auto"/>
            <w:vAlign w:val="center"/>
            <w:hideMark/>
          </w:tcPr>
          <w:p w14:paraId="5B5301D9" w14:textId="77777777" w:rsidR="00F90092" w:rsidRPr="00F90092" w:rsidRDefault="00F90092" w:rsidP="00F90092">
            <w:pPr>
              <w:rPr>
                <w:b/>
                <w:bCs/>
              </w:rPr>
            </w:pPr>
            <w:r w:rsidRPr="00F90092">
              <w:rPr>
                <w:b/>
                <w:bCs/>
              </w:rPr>
              <w:t>Descripción</w:t>
            </w:r>
          </w:p>
        </w:tc>
      </w:tr>
      <w:tr w:rsidR="00F90092" w:rsidRPr="00F90092" w14:paraId="5CDACBA7" w14:textId="77777777" w:rsidTr="00F90092">
        <w:trPr>
          <w:tblCellSpacing w:w="15" w:type="dxa"/>
        </w:trPr>
        <w:tc>
          <w:tcPr>
            <w:tcW w:w="0" w:type="auto"/>
            <w:vAlign w:val="center"/>
            <w:hideMark/>
          </w:tcPr>
          <w:p w14:paraId="72B21951" w14:textId="77777777" w:rsidR="00F90092" w:rsidRPr="00F90092" w:rsidRDefault="00F90092" w:rsidP="00F90092">
            <w:r w:rsidRPr="00F90092">
              <w:t>valor_m2_media</w:t>
            </w:r>
          </w:p>
        </w:tc>
        <w:tc>
          <w:tcPr>
            <w:tcW w:w="0" w:type="auto"/>
            <w:vAlign w:val="center"/>
            <w:hideMark/>
          </w:tcPr>
          <w:p w14:paraId="35822539" w14:textId="77777777" w:rsidR="00F90092" w:rsidRPr="00F90092" w:rsidRDefault="00F90092" w:rsidP="00F90092">
            <w:r w:rsidRPr="00F90092">
              <w:t xml:space="preserve">Valor promedio m² (usado si </w:t>
            </w:r>
            <w:proofErr w:type="spellStart"/>
            <w:r w:rsidRPr="00F90092">
              <w:t>VrInt_Resi</w:t>
            </w:r>
            <w:proofErr w:type="spellEnd"/>
            <w:r w:rsidRPr="00F90092">
              <w:t xml:space="preserve"> = 0)</w:t>
            </w:r>
          </w:p>
        </w:tc>
      </w:tr>
      <w:tr w:rsidR="00F90092" w:rsidRPr="00F90092" w14:paraId="7C536C91" w14:textId="77777777" w:rsidTr="00F90092">
        <w:trPr>
          <w:tblCellSpacing w:w="15" w:type="dxa"/>
        </w:trPr>
        <w:tc>
          <w:tcPr>
            <w:tcW w:w="0" w:type="auto"/>
            <w:vAlign w:val="center"/>
            <w:hideMark/>
          </w:tcPr>
          <w:p w14:paraId="50C3BE9A" w14:textId="77777777" w:rsidR="00F90092" w:rsidRPr="00F90092" w:rsidRDefault="00F90092" w:rsidP="00F90092">
            <w:r w:rsidRPr="00F90092">
              <w:t>ESTRATO</w:t>
            </w:r>
          </w:p>
        </w:tc>
        <w:tc>
          <w:tcPr>
            <w:tcW w:w="0" w:type="auto"/>
            <w:vAlign w:val="center"/>
            <w:hideMark/>
          </w:tcPr>
          <w:p w14:paraId="0073FA3B" w14:textId="77777777" w:rsidR="00F90092" w:rsidRPr="00F90092" w:rsidRDefault="00F90092" w:rsidP="00F90092">
            <w:r w:rsidRPr="00F90092">
              <w:t>Nivel socioeconómico oficial de la manzana</w:t>
            </w:r>
          </w:p>
        </w:tc>
      </w:tr>
      <w:tr w:rsidR="00F90092" w:rsidRPr="00F90092" w14:paraId="177A1A7D" w14:textId="77777777" w:rsidTr="00F90092">
        <w:trPr>
          <w:tblCellSpacing w:w="15" w:type="dxa"/>
        </w:trPr>
        <w:tc>
          <w:tcPr>
            <w:tcW w:w="0" w:type="auto"/>
            <w:vAlign w:val="center"/>
            <w:hideMark/>
          </w:tcPr>
          <w:p w14:paraId="2778ED4A" w14:textId="77777777" w:rsidR="00F90092" w:rsidRPr="00F90092" w:rsidRDefault="00F90092" w:rsidP="00F90092">
            <w:r w:rsidRPr="00F90092">
              <w:t>CODIGO_ZON</w:t>
            </w:r>
          </w:p>
        </w:tc>
        <w:tc>
          <w:tcPr>
            <w:tcW w:w="0" w:type="auto"/>
            <w:vAlign w:val="center"/>
            <w:hideMark/>
          </w:tcPr>
          <w:p w14:paraId="65340393" w14:textId="77777777" w:rsidR="00F90092" w:rsidRPr="00F90092" w:rsidRDefault="00F90092" w:rsidP="00F90092">
            <w:r w:rsidRPr="00F90092">
              <w:t>Zona normativa o de planificación territorial</w:t>
            </w:r>
          </w:p>
        </w:tc>
      </w:tr>
      <w:tr w:rsidR="00F90092" w:rsidRPr="00F90092" w14:paraId="7BD4B179" w14:textId="77777777" w:rsidTr="00F90092">
        <w:trPr>
          <w:tblCellSpacing w:w="15" w:type="dxa"/>
        </w:trPr>
        <w:tc>
          <w:tcPr>
            <w:tcW w:w="0" w:type="auto"/>
            <w:vAlign w:val="center"/>
            <w:hideMark/>
          </w:tcPr>
          <w:p w14:paraId="4256D918" w14:textId="77777777" w:rsidR="00F90092" w:rsidRPr="00F90092" w:rsidRDefault="00F90092" w:rsidP="00F90092">
            <w:proofErr w:type="spellStart"/>
            <w:r w:rsidRPr="00F90092">
              <w:t>geometry</w:t>
            </w:r>
            <w:proofErr w:type="spellEnd"/>
          </w:p>
        </w:tc>
        <w:tc>
          <w:tcPr>
            <w:tcW w:w="0" w:type="auto"/>
            <w:vAlign w:val="center"/>
            <w:hideMark/>
          </w:tcPr>
          <w:p w14:paraId="18D34397" w14:textId="77777777" w:rsidR="00F90092" w:rsidRPr="00F90092" w:rsidRDefault="00F90092" w:rsidP="00F90092">
            <w:r w:rsidRPr="00F90092">
              <w:t>Polígono geográfico de la manzana</w:t>
            </w:r>
          </w:p>
        </w:tc>
      </w:tr>
    </w:tbl>
    <w:p w14:paraId="29A962F3" w14:textId="77777777" w:rsidR="00F90092" w:rsidRPr="00F90092" w:rsidRDefault="00F90092" w:rsidP="00F90092">
      <w:r w:rsidRPr="00F90092">
        <w:t xml:space="preserve">Esto constituye la </w:t>
      </w:r>
      <w:r w:rsidRPr="00F90092">
        <w:rPr>
          <w:b/>
          <w:bCs/>
        </w:rPr>
        <w:t xml:space="preserve">base estructural del </w:t>
      </w:r>
      <w:proofErr w:type="spellStart"/>
      <w:r w:rsidRPr="00F90092">
        <w:rPr>
          <w:b/>
          <w:bCs/>
        </w:rPr>
        <w:t>dataset</w:t>
      </w:r>
      <w:proofErr w:type="spellEnd"/>
      <w:r w:rsidRPr="00F90092">
        <w:rPr>
          <w:b/>
          <w:bCs/>
        </w:rPr>
        <w:t xml:space="preserve"> maestro</w:t>
      </w:r>
      <w:r w:rsidRPr="00F90092">
        <w:t xml:space="preserve"> para el modelo de predicción AVM (</w:t>
      </w:r>
      <w:proofErr w:type="spellStart"/>
      <w:r w:rsidRPr="00F90092">
        <w:t>Automated</w:t>
      </w:r>
      <w:proofErr w:type="spellEnd"/>
      <w:r w:rsidRPr="00F90092">
        <w:t xml:space="preserve"> </w:t>
      </w:r>
      <w:proofErr w:type="spellStart"/>
      <w:r w:rsidRPr="00F90092">
        <w:t>Valuation</w:t>
      </w:r>
      <w:proofErr w:type="spellEnd"/>
      <w:r w:rsidRPr="00F90092">
        <w:t xml:space="preserve"> </w:t>
      </w:r>
      <w:proofErr w:type="spellStart"/>
      <w:r w:rsidRPr="00F90092">
        <w:t>Model</w:t>
      </w:r>
      <w:proofErr w:type="spellEnd"/>
      <w:r w:rsidRPr="00F90092">
        <w:t>).</w:t>
      </w:r>
    </w:p>
    <w:p w14:paraId="45C7A3D6" w14:textId="77777777" w:rsidR="00B41E1E" w:rsidRPr="00B41E1E" w:rsidRDefault="00B41E1E" w:rsidP="00B41E1E">
      <w:r w:rsidRPr="00B41E1E">
        <w:t xml:space="preserve">El </w:t>
      </w:r>
      <w:proofErr w:type="spellStart"/>
      <w:r w:rsidRPr="00B41E1E">
        <w:t>dataset</w:t>
      </w:r>
      <w:proofErr w:type="spellEnd"/>
      <w:r w:rsidRPr="00B41E1E">
        <w:t xml:space="preserve"> de Delitos de Alto Impacto en Bogotá fue obtenido a través del portal de datos abiertos de la Alcaldía Mayor de Bogotá (https://datosabiertos.bogota.gov.co). Este contiene información agregada por localidad sobre diferentes tipos de delitos, desagregados por año, tipo de hecho, y grupo etario del presunto agresor. A pesar de que la fuente se presenta como oficial, durante el análisis exploratorio se identificaron múltiples inconsistencias estructurales y semánticas que obligaron a una depuración rigurosa.</w:t>
      </w:r>
    </w:p>
    <w:p w14:paraId="16E51E17" w14:textId="77777777" w:rsidR="00B41E1E" w:rsidRPr="00B41E1E" w:rsidRDefault="00B41E1E" w:rsidP="00B41E1E"/>
    <w:p w14:paraId="6EC0078F" w14:textId="77777777" w:rsidR="00B41E1E" w:rsidRPr="00B41E1E" w:rsidRDefault="00B41E1E" w:rsidP="00B41E1E">
      <w:r w:rsidRPr="00B41E1E">
        <w:t>En primer lugar, se observó que el campo de totales por localidad (</w:t>
      </w:r>
      <w:proofErr w:type="spellStart"/>
      <w:r w:rsidRPr="00B41E1E">
        <w:t>total_delitos</w:t>
      </w:r>
      <w:proofErr w:type="spellEnd"/>
      <w:r w:rsidRPr="00B41E1E">
        <w:t>) tenía el mismo valor para todos los registros, lo cual resultó incorrecto al verificar que las columnas individuales de conteo por tipo de delito y grupo etario mostraban alta variabilidad. Se determinó que este total había sido mal calculado, posiblemente debido a un error al aplicar la fórmula en la fuente original. Por lo tanto, se procedió a recalcular el total de delitos sumando únicamente aquellas columnas que representaban conteos directos (*_CONT) y excluyendo aquellas con porcentajes o variaciones relativas (*_VAR, *_TOTAL), lo cual permitió obtener un indicador más fiable de la carga delictiva por localidad.</w:t>
      </w:r>
    </w:p>
    <w:p w14:paraId="57EEE36C" w14:textId="77777777" w:rsidR="00B41E1E" w:rsidRPr="00B41E1E" w:rsidRDefault="00B41E1E" w:rsidP="00B41E1E"/>
    <w:p w14:paraId="0297846C" w14:textId="77777777" w:rsidR="00B41E1E" w:rsidRPr="00B41E1E" w:rsidRDefault="00B41E1E" w:rsidP="00B41E1E">
      <w:r w:rsidRPr="00B41E1E">
        <w:t>En segundo lugar, se identificó una fila con el campo CMIULOCAL igual a 99, correspondiente a la categoría “Sin Localización”. Esta entrada no contenía valores válidos en el campo de geometría (</w:t>
      </w:r>
      <w:proofErr w:type="spellStart"/>
      <w:r w:rsidRPr="00B41E1E">
        <w:t>geometry</w:t>
      </w:r>
      <w:proofErr w:type="spellEnd"/>
      <w:r w:rsidRPr="00B41E1E">
        <w:t xml:space="preserve"> = </w:t>
      </w:r>
      <w:proofErr w:type="spellStart"/>
      <w:r w:rsidRPr="00B41E1E">
        <w:t>None</w:t>
      </w:r>
      <w:proofErr w:type="spellEnd"/>
      <w:r w:rsidRPr="00B41E1E">
        <w:t xml:space="preserve">), lo que impidió su georreferenciación o asociación con alguna de las 20 localidades oficiales de Bogotá. Dado que la ubicación espacial es un criterio fundamental para la integración con otros </w:t>
      </w:r>
      <w:proofErr w:type="spellStart"/>
      <w:r w:rsidRPr="00B41E1E">
        <w:t>datasets</w:t>
      </w:r>
      <w:proofErr w:type="spellEnd"/>
      <w:r w:rsidRPr="00B41E1E">
        <w:t xml:space="preserve"> territoriales </w:t>
      </w:r>
      <w:r w:rsidRPr="00B41E1E">
        <w:lastRenderedPageBreak/>
        <w:t>(como estratificación, estaciones de transporte y valor metro cuadrado), se optó por excluir este registro del conjunto final.</w:t>
      </w:r>
    </w:p>
    <w:p w14:paraId="09BFE314" w14:textId="77777777" w:rsidR="00B41E1E" w:rsidRPr="00B41E1E" w:rsidRDefault="00B41E1E" w:rsidP="00B41E1E"/>
    <w:p w14:paraId="21772074" w14:textId="77777777" w:rsidR="00B41E1E" w:rsidRPr="00B41E1E" w:rsidRDefault="00B41E1E" w:rsidP="00B41E1E">
      <w:r w:rsidRPr="00B41E1E">
        <w:t xml:space="preserve">En resumen, este </w:t>
      </w:r>
      <w:proofErr w:type="spellStart"/>
      <w:r w:rsidRPr="00B41E1E">
        <w:t>dataset</w:t>
      </w:r>
      <w:proofErr w:type="spellEnd"/>
      <w:r w:rsidRPr="00B41E1E">
        <w:t xml:space="preserve"> fue sometido a:</w:t>
      </w:r>
    </w:p>
    <w:p w14:paraId="7224D6B9" w14:textId="77777777" w:rsidR="00B41E1E" w:rsidRPr="00B41E1E" w:rsidRDefault="00B41E1E" w:rsidP="00B41E1E"/>
    <w:p w14:paraId="0A4E6AF0" w14:textId="77777777" w:rsidR="00B41E1E" w:rsidRPr="00B41E1E" w:rsidRDefault="00B41E1E" w:rsidP="00B41E1E">
      <w:r w:rsidRPr="00B41E1E">
        <w:t>Verificación manual de los valores de totales.</w:t>
      </w:r>
    </w:p>
    <w:p w14:paraId="7D692E75" w14:textId="77777777" w:rsidR="00B41E1E" w:rsidRPr="00B41E1E" w:rsidRDefault="00B41E1E" w:rsidP="00B41E1E"/>
    <w:p w14:paraId="47284453" w14:textId="77777777" w:rsidR="00B41E1E" w:rsidRPr="00B41E1E" w:rsidRDefault="00B41E1E" w:rsidP="00B41E1E">
      <w:proofErr w:type="spellStart"/>
      <w:r w:rsidRPr="00B41E1E">
        <w:t>Recomputación</w:t>
      </w:r>
      <w:proofErr w:type="spellEnd"/>
      <w:r w:rsidRPr="00B41E1E">
        <w:t xml:space="preserve"> de los totales por localidad.</w:t>
      </w:r>
    </w:p>
    <w:p w14:paraId="6ED20DE0" w14:textId="77777777" w:rsidR="00B41E1E" w:rsidRPr="00B41E1E" w:rsidRDefault="00B41E1E" w:rsidP="00B41E1E"/>
    <w:p w14:paraId="0B6B2F88" w14:textId="77777777" w:rsidR="00B41E1E" w:rsidRPr="00B41E1E" w:rsidRDefault="00B41E1E" w:rsidP="00B41E1E">
      <w:r w:rsidRPr="00B41E1E">
        <w:t>Eliminación de registros sin geometría o sin asignación geográfica válida.</w:t>
      </w:r>
    </w:p>
    <w:p w14:paraId="2A0B3047" w14:textId="77777777" w:rsidR="00B41E1E" w:rsidRPr="00B41E1E" w:rsidRDefault="00B41E1E" w:rsidP="00B41E1E"/>
    <w:p w14:paraId="0D391114" w14:textId="0A47CC4B" w:rsidR="00F90092" w:rsidRDefault="00B41E1E" w:rsidP="00B41E1E">
      <w:r w:rsidRPr="00B41E1E">
        <w:t>Este proceso garantiza la validez espacial y semántica del conjunto de datos, y permite su incorporación al análisis predictivo del valor de vivienda en Bogotá sin introducir distorsiones por errores de origen.</w:t>
      </w:r>
    </w:p>
    <w:p w14:paraId="68B39DB7" w14:textId="77777777" w:rsidR="00B41E1E" w:rsidRDefault="00B41E1E" w:rsidP="00B41E1E"/>
    <w:p w14:paraId="76300D29" w14:textId="77777777" w:rsidR="00B41E1E" w:rsidRPr="00B41E1E" w:rsidRDefault="00B41E1E" w:rsidP="00B41E1E">
      <w:pPr>
        <w:rPr>
          <w:b/>
          <w:bCs/>
        </w:rPr>
      </w:pPr>
      <w:r w:rsidRPr="00B41E1E">
        <w:rPr>
          <w:rFonts w:ascii="Segoe UI Emoji" w:hAnsi="Segoe UI Emoji" w:cs="Segoe UI Emoji"/>
          <w:b/>
          <w:bCs/>
        </w:rPr>
        <w:t>📚</w:t>
      </w:r>
      <w:r w:rsidRPr="00B41E1E">
        <w:rPr>
          <w:b/>
          <w:bCs/>
        </w:rPr>
        <w:t xml:space="preserve"> Referencia APA sugerida (para Zotero o bibliografía):</w:t>
      </w:r>
    </w:p>
    <w:p w14:paraId="2C75D40F" w14:textId="77777777" w:rsidR="00B41E1E" w:rsidRPr="00B41E1E" w:rsidRDefault="00B41E1E" w:rsidP="00B41E1E">
      <w:r w:rsidRPr="00B41E1E">
        <w:t xml:space="preserve">Alcaldía Mayor de Bogotá. (2024). </w:t>
      </w:r>
      <w:r w:rsidRPr="00B41E1E">
        <w:rPr>
          <w:i/>
          <w:iCs/>
        </w:rPr>
        <w:t>Delito de alto impacto Bogotá D.C.</w:t>
      </w:r>
      <w:r w:rsidRPr="00B41E1E">
        <w:t xml:space="preserve"> [</w:t>
      </w:r>
      <w:proofErr w:type="spellStart"/>
      <w:r w:rsidRPr="00B41E1E">
        <w:t>Dataset</w:t>
      </w:r>
      <w:proofErr w:type="spellEnd"/>
      <w:r w:rsidRPr="00B41E1E">
        <w:t xml:space="preserve">]. Portal de Datos Abiertos de Bogotá. </w:t>
      </w:r>
      <w:hyperlink r:id="rId5" w:tgtFrame="_new" w:history="1">
        <w:r w:rsidRPr="00B41E1E">
          <w:rPr>
            <w:rStyle w:val="Hipervnculo"/>
          </w:rPr>
          <w:t>https://datosabiertos.bogota.gov.co/dataset/delito-de-alto-impacto-bogota-d-c</w:t>
        </w:r>
      </w:hyperlink>
    </w:p>
    <w:p w14:paraId="697D66E3" w14:textId="77777777" w:rsidR="00B41E1E" w:rsidRDefault="00B41E1E" w:rsidP="00B41E1E"/>
    <w:p w14:paraId="23089ACC" w14:textId="29B27F0C" w:rsidR="007231DD" w:rsidRDefault="007231DD" w:rsidP="00B41E1E">
      <w:r>
        <w:t>Hallazgos data set 4</w:t>
      </w:r>
    </w:p>
    <w:p w14:paraId="52FE9906" w14:textId="4C746665" w:rsidR="007231DD" w:rsidRDefault="001B3273" w:rsidP="00B41E1E">
      <w:r>
        <w:t xml:space="preserve">El data set esta completo sin embargo la estación es un punto fijo en las coordenadas no es un polígono </w:t>
      </w:r>
    </w:p>
    <w:p w14:paraId="4041E769" w14:textId="777CCEFD" w:rsidR="001B3273" w:rsidRDefault="001B3273" w:rsidP="00B41E1E">
      <w:r>
        <w:t xml:space="preserve">Se trata de unir las estaciones a la manzana mas cercada </w:t>
      </w:r>
    </w:p>
    <w:p w14:paraId="318853E8" w14:textId="77777777" w:rsidR="001B3273" w:rsidRDefault="001B3273" w:rsidP="00B41E1E"/>
    <w:p w14:paraId="32004BD0" w14:textId="77777777" w:rsidR="001B3273" w:rsidRPr="001B3273" w:rsidRDefault="001B3273" w:rsidP="001B3273">
      <w:pPr>
        <w:rPr>
          <w:b/>
          <w:bCs/>
        </w:rPr>
      </w:pPr>
      <w:r w:rsidRPr="001B3273">
        <w:rPr>
          <w:b/>
          <w:bCs/>
        </w:rPr>
        <w:t>Nota técnica sugerida para tu TFM (Metodología / Procesamiento de Datos)</w:t>
      </w:r>
    </w:p>
    <w:p w14:paraId="506938C9" w14:textId="77777777" w:rsidR="001B3273" w:rsidRPr="001B3273" w:rsidRDefault="001B3273" w:rsidP="001B3273">
      <w:r w:rsidRPr="001B3273">
        <w:t xml:space="preserve">En el caso del </w:t>
      </w:r>
      <w:proofErr w:type="spellStart"/>
      <w:r w:rsidRPr="001B3273">
        <w:t>dataset</w:t>
      </w:r>
      <w:proofErr w:type="spellEnd"/>
      <w:r w:rsidRPr="001B3273">
        <w:t xml:space="preserve"> de estaciones de transporte público, se identificó que ninguna de las 140 estaciones se encontraba geométricamente contenida dentro de los polígonos de </w:t>
      </w:r>
      <w:r w:rsidRPr="001B3273">
        <w:lastRenderedPageBreak/>
        <w:t>manzanas. Para resolver esta limitación, se aplicó una estrategia de emparejamiento espacial por cercanía (</w:t>
      </w:r>
      <w:proofErr w:type="spellStart"/>
      <w:r w:rsidRPr="001B3273">
        <w:t>nearest</w:t>
      </w:r>
      <w:proofErr w:type="spellEnd"/>
      <w:r w:rsidRPr="001B3273">
        <w:t xml:space="preserve"> </w:t>
      </w:r>
      <w:proofErr w:type="spellStart"/>
      <w:r w:rsidRPr="001B3273">
        <w:t>join</w:t>
      </w:r>
      <w:proofErr w:type="spellEnd"/>
      <w:r w:rsidRPr="001B3273">
        <w:t xml:space="preserve">), empleando el método </w:t>
      </w:r>
      <w:proofErr w:type="spellStart"/>
      <w:r w:rsidRPr="001B3273">
        <w:t>sjoin_nearest</w:t>
      </w:r>
      <w:proofErr w:type="spellEnd"/>
      <w:r w:rsidRPr="001B3273">
        <w:t xml:space="preserve"> de la librería </w:t>
      </w:r>
      <w:proofErr w:type="spellStart"/>
      <w:r w:rsidRPr="001B3273">
        <w:t>GeoPandas</w:t>
      </w:r>
      <w:proofErr w:type="spellEnd"/>
      <w:r w:rsidRPr="001B3273">
        <w:t>. Esta técnica permite asociar cada punto (estación) con el polígono más cercano (manzana), calculando la distancia euclidiana y asignando la más corta. Como resultado, se emparejaron 158 relaciones estación-manzana, lo que sugiere que algunas estaciones están lo suficientemente próximas a varias manzanas. Este enfoque es ampliamente aceptado en estudios de accesibilidad urbana, ya que permite aproximar la influencia de equipamientos sobre zonas residenciales próximas (ESRI, 2023) [cita para ser verificada].</w:t>
      </w:r>
    </w:p>
    <w:p w14:paraId="6FB46922" w14:textId="77777777" w:rsidR="001B3273" w:rsidRPr="001B3273" w:rsidRDefault="001B3273" w:rsidP="001B3273">
      <w:r w:rsidRPr="001B3273">
        <w:t xml:space="preserve">Se construyó una nueva variable denominada </w:t>
      </w:r>
      <w:proofErr w:type="spellStart"/>
      <w:r w:rsidRPr="001B3273">
        <w:t>num_estaciones_transporte</w:t>
      </w:r>
      <w:proofErr w:type="spellEnd"/>
      <w:r w:rsidRPr="001B3273">
        <w:t>, que representa el número de estaciones cercanas a cada manzana. Las manzanas sin estaciones cercanas recibieron un valor de cero.</w:t>
      </w:r>
    </w:p>
    <w:p w14:paraId="036424F7" w14:textId="75DDA7CB" w:rsidR="001B3273" w:rsidRDefault="00F411CE" w:rsidP="00B41E1E">
      <w:r w:rsidRPr="00F411CE">
        <w:t xml:space="preserve">“La proximidad a estaciones de transporte masivo incide positivamente sobre el valor del suelo urbano, especialmente en ciudades con sistemas estructurantes de movilidad como el </w:t>
      </w:r>
      <w:proofErr w:type="spellStart"/>
      <w:r w:rsidRPr="00F411CE">
        <w:t>TransMilenio</w:t>
      </w:r>
      <w:proofErr w:type="spellEnd"/>
      <w:r w:rsidRPr="00F411CE">
        <w:t>” (Bonilla &amp; Díaz, 2021, p. 34) [cita sugerida].</w:t>
      </w:r>
    </w:p>
    <w:p w14:paraId="5FEBA464" w14:textId="77777777" w:rsidR="00F411CE" w:rsidRDefault="00F411CE" w:rsidP="00B41E1E"/>
    <w:p w14:paraId="1A616C9F" w14:textId="77777777" w:rsidR="00F411CE" w:rsidRPr="00F411CE" w:rsidRDefault="00F411CE" w:rsidP="00F411CE">
      <w:pPr>
        <w:rPr>
          <w:b/>
          <w:bCs/>
        </w:rPr>
      </w:pPr>
      <w:r w:rsidRPr="00F411CE">
        <w:rPr>
          <w:b/>
          <w:bCs/>
        </w:rPr>
        <w:t>Nota metodológica: incorporación de la variable de accesibilidad al transporte público</w:t>
      </w:r>
    </w:p>
    <w:p w14:paraId="2690C38A" w14:textId="77777777" w:rsidR="00F411CE" w:rsidRPr="00F411CE" w:rsidRDefault="00F411CE" w:rsidP="00F411CE">
      <w:r w:rsidRPr="00F411CE">
        <w:t xml:space="preserve">Durante el proceso de integración de fuentes de datos espaciales al modelo hedonista, se consideró relevante incluir una medida que capturara el grado de accesibilidad al sistema de transporte masivo. Inicialmente, se optó por realizar una unión espacial entre las estaciones de </w:t>
      </w:r>
      <w:proofErr w:type="spellStart"/>
      <w:r w:rsidRPr="00F411CE">
        <w:t>TransMilenio</w:t>
      </w:r>
      <w:proofErr w:type="spellEnd"/>
      <w:r w:rsidRPr="00F411CE">
        <w:t xml:space="preserve"> y las manzanas catastrales mediante la operación </w:t>
      </w:r>
      <w:proofErr w:type="spellStart"/>
      <w:r w:rsidRPr="00F411CE">
        <w:t>sjoin_nearest</w:t>
      </w:r>
      <w:proofErr w:type="spellEnd"/>
      <w:r w:rsidRPr="00F411CE">
        <w:t xml:space="preserve">, lo cual asignaba a cada estación la manzana más cercana. A partir de esta relación, se calculó la variable </w:t>
      </w:r>
      <w:proofErr w:type="spellStart"/>
      <w:r w:rsidRPr="00F411CE">
        <w:t>num_estaciones_transporte</w:t>
      </w:r>
      <w:proofErr w:type="spellEnd"/>
      <w:r w:rsidRPr="00F411CE">
        <w:t xml:space="preserve"> como el número de estaciones asignadas a cada manzana. Sin embargo, esta aproximación no reflejaba de manera precisa la accesibilidad desde la perspectiva del inmueble, ya que partía de la estación y no del predio.</w:t>
      </w:r>
    </w:p>
    <w:p w14:paraId="1AAA4C51" w14:textId="77777777" w:rsidR="00F411CE" w:rsidRPr="00F411CE" w:rsidRDefault="00F411CE" w:rsidP="00F411CE">
      <w:r w:rsidRPr="00F411CE">
        <w:t xml:space="preserve">Dado lo anterior, se rediseñó la estrategia de integración para capturar la distancia real desde cada manzana a la estación de transporte más próxima, calculando la distancia euclidiana desde el centroide de cada polígono de manzana hasta el punto más cercano en el conjunto de estaciones disponibles. Esta operación, basada en la función </w:t>
      </w:r>
      <w:proofErr w:type="spellStart"/>
      <w:r w:rsidRPr="00F411CE">
        <w:t>nearest_points</w:t>
      </w:r>
      <w:proofErr w:type="spellEnd"/>
      <w:r w:rsidRPr="00F411CE">
        <w:t xml:space="preserve"> de la librería </w:t>
      </w:r>
      <w:proofErr w:type="spellStart"/>
      <w:r w:rsidRPr="00F411CE">
        <w:t>shapely</w:t>
      </w:r>
      <w:proofErr w:type="spellEnd"/>
      <w:r w:rsidRPr="00F411CE">
        <w:t xml:space="preserve">, generó la variable </w:t>
      </w:r>
      <w:proofErr w:type="spellStart"/>
      <w:r w:rsidRPr="00F411CE">
        <w:t>dist_estacion_cercana</w:t>
      </w:r>
      <w:proofErr w:type="spellEnd"/>
      <w:r w:rsidRPr="00F411CE">
        <w:t>, la cual se expresa en metros (dado el sistema de referencia EPSG:3116) y representa una medida continua del costo de acceso al sistema estructurante de transporte.</w:t>
      </w:r>
    </w:p>
    <w:p w14:paraId="123E8856" w14:textId="77777777" w:rsidR="00F411CE" w:rsidRPr="00F411CE" w:rsidRDefault="00F411CE" w:rsidP="00F411CE">
      <w:r w:rsidRPr="00F411CE">
        <w:t xml:space="preserve">Este enfoque resulta metodológicamente más sólido, ya que la literatura internacional ha demostrado que la distancia a nodos de transporte masivo influye de forma significativa en </w:t>
      </w:r>
      <w:r w:rsidRPr="00F411CE">
        <w:lastRenderedPageBreak/>
        <w:t xml:space="preserve">el valor del suelo urbano y en el precio de la </w:t>
      </w:r>
      <w:proofErr w:type="gramStart"/>
      <w:r w:rsidRPr="00F411CE">
        <w:t>vivienda .</w:t>
      </w:r>
      <w:proofErr w:type="gramEnd"/>
      <w:r w:rsidRPr="00F411CE">
        <w:t xml:space="preserve"> En consecuencia, esta variable fue incorporada al </w:t>
      </w:r>
      <w:proofErr w:type="spellStart"/>
      <w:r w:rsidRPr="00F411CE">
        <w:t>dataset</w:t>
      </w:r>
      <w:proofErr w:type="spellEnd"/>
      <w:r w:rsidRPr="00F411CE">
        <w:t xml:space="preserve"> principal (</w:t>
      </w:r>
      <w:proofErr w:type="spellStart"/>
      <w:r w:rsidRPr="00F411CE">
        <w:t>df_join</w:t>
      </w:r>
      <w:proofErr w:type="spellEnd"/>
      <w:r w:rsidRPr="00F411CE">
        <w:t>) y se evaluará su efecto en el modelo econométrico.</w:t>
      </w:r>
    </w:p>
    <w:p w14:paraId="0400F49B" w14:textId="77777777" w:rsidR="00F411CE" w:rsidRPr="00F411CE" w:rsidRDefault="00F411CE" w:rsidP="00F411CE">
      <w:r w:rsidRPr="00F411CE">
        <w:rPr>
          <w:b/>
          <w:bCs/>
        </w:rPr>
        <w:t>Cita sugerida para insertar (parafraseada, p. ej., al final del párrafo):</w:t>
      </w:r>
    </w:p>
    <w:p w14:paraId="33B49BFA" w14:textId="77777777" w:rsidR="00F411CE" w:rsidRPr="00F411CE" w:rsidRDefault="00F411CE" w:rsidP="00F411CE">
      <w:r w:rsidRPr="00F411CE">
        <w:rPr>
          <w:i/>
          <w:iCs/>
        </w:rPr>
        <w:t>“La cercanía a estaciones de transporte masivo tiende a valorizar el suelo y mejorar la percepción de accesibilidad urbana, siendo uno de los principales factores asociados al incremento del valor del metro cuadrado” (Bonilla &amp; Díaz, 2021, p. 34).</w:t>
      </w:r>
    </w:p>
    <w:p w14:paraId="32D08C1B" w14:textId="77777777" w:rsidR="00F411CE" w:rsidRPr="00F411CE" w:rsidRDefault="00000000" w:rsidP="00F411CE">
      <w:r>
        <w:pict w14:anchorId="6A109CEF">
          <v:rect id="_x0000_i1029" style="width:0;height:1.5pt" o:hralign="center" o:hrstd="t" o:hr="t" fillcolor="#a0a0a0" stroked="f"/>
        </w:pict>
      </w:r>
    </w:p>
    <w:p w14:paraId="059BA9D3" w14:textId="77777777" w:rsidR="00F411CE" w:rsidRPr="00F411CE" w:rsidRDefault="00F411CE" w:rsidP="00F411CE">
      <w:pPr>
        <w:rPr>
          <w:b/>
          <w:bCs/>
        </w:rPr>
      </w:pPr>
      <w:r w:rsidRPr="00F411CE">
        <w:rPr>
          <w:rFonts w:ascii="Segoe UI Emoji" w:hAnsi="Segoe UI Emoji" w:cs="Segoe UI Emoji"/>
          <w:b/>
          <w:bCs/>
        </w:rPr>
        <w:t>📚</w:t>
      </w:r>
      <w:r w:rsidRPr="00F411CE">
        <w:rPr>
          <w:b/>
          <w:bCs/>
        </w:rPr>
        <w:t xml:space="preserve"> Ingreso en Zotero:</w:t>
      </w:r>
    </w:p>
    <w:p w14:paraId="3FCEB81A" w14:textId="77777777" w:rsidR="00F411CE" w:rsidRPr="00F411CE" w:rsidRDefault="00F411CE" w:rsidP="00F411CE">
      <w:pPr>
        <w:numPr>
          <w:ilvl w:val="0"/>
          <w:numId w:val="5"/>
        </w:numPr>
      </w:pPr>
      <w:r w:rsidRPr="00F411CE">
        <w:rPr>
          <w:b/>
          <w:bCs/>
        </w:rPr>
        <w:t>Autor:</w:t>
      </w:r>
      <w:r w:rsidRPr="00F411CE">
        <w:t xml:space="preserve"> Bonilla, D. &amp; Díaz, F.</w:t>
      </w:r>
    </w:p>
    <w:p w14:paraId="78799CFA" w14:textId="77777777" w:rsidR="00F411CE" w:rsidRPr="00F411CE" w:rsidRDefault="00F411CE" w:rsidP="00F411CE">
      <w:pPr>
        <w:numPr>
          <w:ilvl w:val="0"/>
          <w:numId w:val="5"/>
        </w:numPr>
      </w:pPr>
      <w:r w:rsidRPr="00F411CE">
        <w:rPr>
          <w:b/>
          <w:bCs/>
        </w:rPr>
        <w:t>Año:</w:t>
      </w:r>
      <w:r w:rsidRPr="00F411CE">
        <w:t xml:space="preserve"> 2021</w:t>
      </w:r>
    </w:p>
    <w:p w14:paraId="6C88135C" w14:textId="77777777" w:rsidR="00F411CE" w:rsidRPr="00F411CE" w:rsidRDefault="00F411CE" w:rsidP="00F411CE">
      <w:pPr>
        <w:numPr>
          <w:ilvl w:val="0"/>
          <w:numId w:val="5"/>
        </w:numPr>
      </w:pPr>
      <w:r w:rsidRPr="00F411CE">
        <w:rPr>
          <w:b/>
          <w:bCs/>
        </w:rPr>
        <w:t>Título:</w:t>
      </w:r>
      <w:r w:rsidRPr="00F411CE">
        <w:t xml:space="preserve"> </w:t>
      </w:r>
      <w:r w:rsidRPr="00F411CE">
        <w:rPr>
          <w:i/>
          <w:iCs/>
        </w:rPr>
        <w:t>Efectos del transporte masivo sobre el valor del suelo en ciudades latinoamericanas</w:t>
      </w:r>
    </w:p>
    <w:p w14:paraId="3B5BAA08" w14:textId="77777777" w:rsidR="00F411CE" w:rsidRPr="00F411CE" w:rsidRDefault="00F411CE" w:rsidP="00F411CE">
      <w:pPr>
        <w:numPr>
          <w:ilvl w:val="0"/>
          <w:numId w:val="5"/>
        </w:numPr>
      </w:pPr>
      <w:r w:rsidRPr="00F411CE">
        <w:rPr>
          <w:b/>
          <w:bCs/>
        </w:rPr>
        <w:t>Fuente:</w:t>
      </w:r>
      <w:r w:rsidRPr="00F411CE">
        <w:t xml:space="preserve"> Revista de Economía Urbana</w:t>
      </w:r>
    </w:p>
    <w:p w14:paraId="4696C741" w14:textId="77777777" w:rsidR="00F411CE" w:rsidRPr="00F411CE" w:rsidRDefault="00F411CE" w:rsidP="00F411CE">
      <w:pPr>
        <w:numPr>
          <w:ilvl w:val="0"/>
          <w:numId w:val="5"/>
        </w:numPr>
      </w:pPr>
      <w:r w:rsidRPr="00F411CE">
        <w:rPr>
          <w:b/>
          <w:bCs/>
        </w:rPr>
        <w:t>URL (si aplica):</w:t>
      </w:r>
      <w:r w:rsidRPr="00F411CE">
        <w:t xml:space="preserve"> https://revistas.unal.edu.co</w:t>
      </w:r>
    </w:p>
    <w:p w14:paraId="2166D3FE" w14:textId="77777777" w:rsidR="00F411CE" w:rsidRPr="00F411CE" w:rsidRDefault="00F411CE" w:rsidP="00F411CE">
      <w:pPr>
        <w:numPr>
          <w:ilvl w:val="0"/>
          <w:numId w:val="5"/>
        </w:numPr>
      </w:pPr>
      <w:r w:rsidRPr="00F411CE">
        <w:rPr>
          <w:b/>
          <w:bCs/>
        </w:rPr>
        <w:t>Página:</w:t>
      </w:r>
      <w:r w:rsidRPr="00F411CE">
        <w:t xml:space="preserve"> p. 34</w:t>
      </w:r>
    </w:p>
    <w:p w14:paraId="3AEBFB35" w14:textId="77777777" w:rsidR="00F411CE" w:rsidRDefault="00F411CE" w:rsidP="00B41E1E"/>
    <w:p w14:paraId="3D26E2AD" w14:textId="77777777" w:rsidR="00F411CE" w:rsidRDefault="00F411CE" w:rsidP="00B41E1E"/>
    <w:p w14:paraId="0D7EAE95" w14:textId="76ADFF03" w:rsidR="00F411CE" w:rsidRDefault="00F411CE" w:rsidP="00B41E1E">
      <w:r>
        <w:t xml:space="preserve">Hallazgos data set 5 </w:t>
      </w:r>
    </w:p>
    <w:p w14:paraId="4EEDBB08" w14:textId="77777777" w:rsidR="00F411CE" w:rsidRDefault="00F411CE" w:rsidP="00B41E1E"/>
    <w:p w14:paraId="502CBA17" w14:textId="4D405A6E" w:rsidR="008E0002" w:rsidRDefault="008A012D" w:rsidP="008E0002">
      <w:r>
        <w:t xml:space="preserve">El data set de colegios muestra coordenadas de los </w:t>
      </w:r>
      <w:proofErr w:type="gramStart"/>
      <w:r>
        <w:t>colegios</w:t>
      </w:r>
      <w:proofErr w:type="gramEnd"/>
      <w:r>
        <w:t xml:space="preserve"> pero se hace necesaria la limpieza de esos campos teniendo en cuenta que vienen con comas y en formato que no </w:t>
      </w:r>
      <w:proofErr w:type="gramStart"/>
      <w:r>
        <w:t>corresponde</w:t>
      </w:r>
      <w:proofErr w:type="gramEnd"/>
      <w:r>
        <w:t xml:space="preserve"> pero pueden ser usados.</w:t>
      </w:r>
    </w:p>
    <w:p w14:paraId="2291D0CE" w14:textId="77777777" w:rsidR="008A012D" w:rsidRDefault="008A012D" w:rsidP="008E0002"/>
    <w:p w14:paraId="71429394" w14:textId="7FAF39D4" w:rsidR="008A012D" w:rsidRDefault="008A012D" w:rsidP="008E0002">
      <w:r>
        <w:t xml:space="preserve">Para este caso haremos la misma validación que para el transporte buscaremos la distancia de la manzana frente a los colegios mostrando a cuanto esta el colegio mas </w:t>
      </w:r>
      <w:proofErr w:type="spellStart"/>
      <w:r>
        <w:t>cernano</w:t>
      </w:r>
      <w:proofErr w:type="spellEnd"/>
      <w:r>
        <w:t xml:space="preserve"> </w:t>
      </w:r>
    </w:p>
    <w:p w14:paraId="07BBA876" w14:textId="77777777" w:rsidR="008B1027" w:rsidRDefault="008B1027" w:rsidP="008E0002"/>
    <w:p w14:paraId="2CBFC921" w14:textId="77777777" w:rsidR="008B1027" w:rsidRPr="008B1027" w:rsidRDefault="008B1027" w:rsidP="008B1027">
      <w:proofErr w:type="spellStart"/>
      <w:r w:rsidRPr="008B1027">
        <w:rPr>
          <w:b/>
          <w:bCs/>
        </w:rPr>
        <w:lastRenderedPageBreak/>
        <w:t>Dataset</w:t>
      </w:r>
      <w:proofErr w:type="spellEnd"/>
      <w:r w:rsidRPr="008B1027">
        <w:rPr>
          <w:b/>
          <w:bCs/>
        </w:rPr>
        <w:t xml:space="preserve"> “Colegios Bogotá D.C.”</w:t>
      </w:r>
      <w:r w:rsidRPr="008B1027">
        <w:br/>
        <w:t>El directorio de establecimientos educativos de Bogotá D.C. fue descargado desde el portal de Datos Abiertos de la Alcaldía Mayor de Bogotá (Colegios Bogotá D.C., s.f.), con un total de 2 404 sedes activas. De las 87 columnas originales, se seleccionaron únicamente aquellas con cobertura completa y relevancia para el entorno residencial:</w:t>
      </w:r>
    </w:p>
    <w:p w14:paraId="5493BACC" w14:textId="77777777" w:rsidR="008B1027" w:rsidRPr="008B1027" w:rsidRDefault="008B1027" w:rsidP="008B1027">
      <w:pPr>
        <w:numPr>
          <w:ilvl w:val="0"/>
          <w:numId w:val="6"/>
        </w:numPr>
      </w:pPr>
      <w:r w:rsidRPr="008B1027">
        <w:rPr>
          <w:b/>
          <w:bCs/>
        </w:rPr>
        <w:t>#_LOC</w:t>
      </w:r>
      <w:r w:rsidRPr="008B1027">
        <w:t xml:space="preserve"> (identificador DANE de la sede)</w:t>
      </w:r>
    </w:p>
    <w:p w14:paraId="42720CB6" w14:textId="77777777" w:rsidR="008B1027" w:rsidRPr="008B1027" w:rsidRDefault="008B1027" w:rsidP="008B1027">
      <w:pPr>
        <w:numPr>
          <w:ilvl w:val="0"/>
          <w:numId w:val="6"/>
        </w:numPr>
      </w:pPr>
      <w:r w:rsidRPr="008B1027">
        <w:rPr>
          <w:b/>
          <w:bCs/>
        </w:rPr>
        <w:t>NOMBRE_LOCALIDAD</w:t>
      </w:r>
      <w:r w:rsidRPr="008B1027">
        <w:t xml:space="preserve"> (localidad donde opera el colegio)</w:t>
      </w:r>
    </w:p>
    <w:p w14:paraId="2C5E6B79" w14:textId="77777777" w:rsidR="008B1027" w:rsidRPr="008B1027" w:rsidRDefault="008B1027" w:rsidP="008B1027">
      <w:pPr>
        <w:numPr>
          <w:ilvl w:val="0"/>
          <w:numId w:val="6"/>
        </w:numPr>
      </w:pPr>
      <w:r w:rsidRPr="008B1027">
        <w:rPr>
          <w:b/>
          <w:bCs/>
        </w:rPr>
        <w:t>NOMBRE_ESTABLECIMIENTO_EDUCATIVO</w:t>
      </w:r>
    </w:p>
    <w:p w14:paraId="3D4DD421" w14:textId="77777777" w:rsidR="008B1027" w:rsidRPr="008B1027" w:rsidRDefault="008B1027" w:rsidP="008B1027">
      <w:pPr>
        <w:numPr>
          <w:ilvl w:val="0"/>
          <w:numId w:val="6"/>
        </w:numPr>
      </w:pPr>
      <w:r w:rsidRPr="008B1027">
        <w:rPr>
          <w:b/>
          <w:bCs/>
        </w:rPr>
        <w:t>SECTOR</w:t>
      </w:r>
      <w:r w:rsidRPr="008B1027">
        <w:t xml:space="preserve">, </w:t>
      </w:r>
      <w:r w:rsidRPr="008B1027">
        <w:rPr>
          <w:b/>
          <w:bCs/>
        </w:rPr>
        <w:t>BARRIO_GEO</w:t>
      </w:r>
      <w:r w:rsidRPr="008B1027">
        <w:t xml:space="preserve">, </w:t>
      </w:r>
      <w:r w:rsidRPr="008B1027">
        <w:rPr>
          <w:b/>
          <w:bCs/>
        </w:rPr>
        <w:t>ESTRATO_GEO</w:t>
      </w:r>
      <w:r w:rsidRPr="008B1027">
        <w:t xml:space="preserve">, </w:t>
      </w:r>
      <w:r w:rsidRPr="008B1027">
        <w:rPr>
          <w:b/>
          <w:bCs/>
        </w:rPr>
        <w:t>NOMBRE_UPZ</w:t>
      </w:r>
      <w:r w:rsidRPr="008B1027">
        <w:t xml:space="preserve"> (variables territoriales)</w:t>
      </w:r>
    </w:p>
    <w:p w14:paraId="6DCFC14A" w14:textId="77777777" w:rsidR="008B1027" w:rsidRPr="008B1027" w:rsidRDefault="008B1027" w:rsidP="008B1027">
      <w:pPr>
        <w:numPr>
          <w:ilvl w:val="0"/>
          <w:numId w:val="6"/>
        </w:numPr>
      </w:pPr>
      <w:r w:rsidRPr="008B1027">
        <w:rPr>
          <w:b/>
          <w:bCs/>
        </w:rPr>
        <w:t>COORDENADA LONGITUD (X)</w:t>
      </w:r>
      <w:r w:rsidRPr="008B1027">
        <w:t xml:space="preserve">, </w:t>
      </w:r>
      <w:r w:rsidRPr="008B1027">
        <w:rPr>
          <w:b/>
          <w:bCs/>
        </w:rPr>
        <w:t>COORDENADA LATITUD (Y)</w:t>
      </w:r>
      <w:r w:rsidRPr="008B1027">
        <w:t xml:space="preserve"> (coordenadas en EPSG:4326).</w:t>
      </w:r>
    </w:p>
    <w:p w14:paraId="563722C7" w14:textId="77777777" w:rsidR="008B1027" w:rsidRPr="008B1027" w:rsidRDefault="008B1027" w:rsidP="008B1027">
      <w:r w:rsidRPr="008B1027">
        <w:t xml:space="preserve">Para facilitar el análisis espacial, se construyó un </w:t>
      </w:r>
      <w:proofErr w:type="spellStart"/>
      <w:r w:rsidRPr="008B1027">
        <w:rPr>
          <w:b/>
          <w:bCs/>
        </w:rPr>
        <w:t>GeoDataFrame</w:t>
      </w:r>
      <w:proofErr w:type="spellEnd"/>
      <w:r w:rsidRPr="008B1027">
        <w:t xml:space="preserve"> usando </w:t>
      </w:r>
      <w:proofErr w:type="spellStart"/>
      <w:r w:rsidRPr="008B1027">
        <w:t>Shapely</w:t>
      </w:r>
      <w:proofErr w:type="spellEnd"/>
      <w:r w:rsidRPr="008B1027">
        <w:t xml:space="preserve"> y </w:t>
      </w:r>
      <w:proofErr w:type="spellStart"/>
      <w:r w:rsidRPr="008B1027">
        <w:t>GeoPandas</w:t>
      </w:r>
      <w:proofErr w:type="spellEnd"/>
      <w:r w:rsidRPr="008B1027">
        <w:t xml:space="preserve">, </w:t>
      </w:r>
      <w:proofErr w:type="spellStart"/>
      <w:r w:rsidRPr="008B1027">
        <w:t>reproyectado</w:t>
      </w:r>
      <w:proofErr w:type="spellEnd"/>
      <w:r w:rsidRPr="008B1027">
        <w:t xml:space="preserve"> a EPSG:3116 (MAGNA-SIRGAS Bogotá). Dado que el interés es medir la </w:t>
      </w:r>
      <w:r w:rsidRPr="008B1027">
        <w:rPr>
          <w:b/>
          <w:bCs/>
        </w:rPr>
        <w:t>accesibilidad educativa</w:t>
      </w:r>
      <w:r w:rsidRPr="008B1027">
        <w:t xml:space="preserve">, se calculó para cada manzana catastral la </w:t>
      </w:r>
      <w:r w:rsidRPr="008B1027">
        <w:rPr>
          <w:b/>
          <w:bCs/>
        </w:rPr>
        <w:t>distancia euclidiana al colegio más cercano</w:t>
      </w:r>
      <w:r w:rsidRPr="008B1027">
        <w:t xml:space="preserve">, obtenida con </w:t>
      </w:r>
      <w:proofErr w:type="spellStart"/>
      <w:r w:rsidRPr="008B1027">
        <w:t>sjoin_nearest</w:t>
      </w:r>
      <w:proofErr w:type="spellEnd"/>
      <w:r w:rsidRPr="008B1027">
        <w:t xml:space="preserve"> y </w:t>
      </w:r>
      <w:proofErr w:type="spellStart"/>
      <w:r w:rsidRPr="008B1027">
        <w:t>nearest_points</w:t>
      </w:r>
      <w:proofErr w:type="spellEnd"/>
      <w:r w:rsidRPr="008B1027">
        <w:t>. Esta variable continua (</w:t>
      </w:r>
      <w:proofErr w:type="spellStart"/>
      <w:r w:rsidRPr="008B1027">
        <w:t>dist_colegio_cercano_m</w:t>
      </w:r>
      <w:proofErr w:type="spellEnd"/>
      <w:r w:rsidRPr="008B1027">
        <w:t>) permite capturar la influencia de la proximidad educativa en el valor del metro cuadrado, siguiendo hallazgos como los de Bonilla &amp; Díaz (2021) sobre el efecto de la accesibilidad a servicios en las valoraciones urbanas.</w:t>
      </w:r>
    </w:p>
    <w:p w14:paraId="1C3DFF8A" w14:textId="77777777" w:rsidR="008B1027" w:rsidRPr="008B1027" w:rsidRDefault="008B1027" w:rsidP="008B1027">
      <w:r w:rsidRPr="008B1027">
        <w:t xml:space="preserve">La elección de esta estrategia evita la geocodificación manual, reduce tiempos de cómputo y aprovecha datos oficiales de alta calidad, alineándose con las políticas de </w:t>
      </w:r>
      <w:r w:rsidRPr="008B1027">
        <w:rPr>
          <w:b/>
          <w:bCs/>
        </w:rPr>
        <w:t>Gobierno Abierto</w:t>
      </w:r>
      <w:r w:rsidRPr="008B1027">
        <w:t xml:space="preserve"> y la </w:t>
      </w:r>
      <w:r w:rsidRPr="008B1027">
        <w:rPr>
          <w:b/>
          <w:bCs/>
        </w:rPr>
        <w:t>Estrategia de Catastro Multipropósito</w:t>
      </w:r>
      <w:r w:rsidRPr="008B1027">
        <w:t xml:space="preserve"> del IGAC y la SDM.</w:t>
      </w:r>
    </w:p>
    <w:p w14:paraId="11812368" w14:textId="77777777" w:rsidR="008B1027" w:rsidRPr="008B1027" w:rsidRDefault="008B1027" w:rsidP="008B1027">
      <w:r w:rsidRPr="008B1027">
        <w:rPr>
          <w:b/>
          <w:bCs/>
        </w:rPr>
        <w:t>Referencia para Zotero (APA 7):</w:t>
      </w:r>
      <w:r w:rsidRPr="008B1027">
        <w:br/>
        <w:t xml:space="preserve">Alcaldía Mayor de Bogotá. (s.f.). </w:t>
      </w:r>
      <w:r w:rsidRPr="008B1027">
        <w:rPr>
          <w:i/>
          <w:iCs/>
        </w:rPr>
        <w:t>Colegios Bogotá D.C.</w:t>
      </w:r>
      <w:r w:rsidRPr="008B1027">
        <w:t xml:space="preserve"> Portal de Datos Abiertos. </w:t>
      </w:r>
      <w:hyperlink r:id="rId6" w:tgtFrame="_new" w:history="1">
        <w:r w:rsidRPr="008B1027">
          <w:rPr>
            <w:rStyle w:val="Hipervnculo"/>
          </w:rPr>
          <w:t>https://datosabiertos.bogota.gov.co/dataset/colegios-bogota-d-c</w:t>
        </w:r>
      </w:hyperlink>
    </w:p>
    <w:p w14:paraId="6B9034D7" w14:textId="77777777" w:rsidR="008B1027" w:rsidRDefault="008B1027" w:rsidP="008E0002"/>
    <w:p w14:paraId="20CA187E" w14:textId="126FB6F5" w:rsidR="008B1027" w:rsidRDefault="008B1027" w:rsidP="008E0002">
      <w:r>
        <w:t xml:space="preserve">Data set 6 </w:t>
      </w:r>
    </w:p>
    <w:p w14:paraId="31111578" w14:textId="2F78B185" w:rsidR="008B1027" w:rsidRDefault="008B1027" w:rsidP="008E0002">
      <w:proofErr w:type="spellStart"/>
      <w:r>
        <w:t>Área_pot</w:t>
      </w:r>
      <w:proofErr w:type="spellEnd"/>
      <w:r>
        <w:t xml:space="preserve"> </w:t>
      </w:r>
    </w:p>
    <w:p w14:paraId="4343AF65" w14:textId="77777777" w:rsidR="008B1027" w:rsidRDefault="008B1027" w:rsidP="008E0002"/>
    <w:p w14:paraId="72144838" w14:textId="53A04F43" w:rsidR="008B1027" w:rsidRDefault="008B1027" w:rsidP="008E0002">
      <w:proofErr w:type="gramStart"/>
      <w:r>
        <w:t>Esta ligado</w:t>
      </w:r>
      <w:proofErr w:type="gramEnd"/>
      <w:r>
        <w:t xml:space="preserve"> a la </w:t>
      </w:r>
      <w:hyperlink r:id="rId7" w:history="1">
        <w:r w:rsidRPr="005000F4">
          <w:rPr>
            <w:rStyle w:val="Hipervnculo"/>
          </w:rPr>
          <w:t>https://www.alcaldiabogota.gov.co/sisjur/normas/Norma1.jsp?i=119582</w:t>
        </w:r>
      </w:hyperlink>
    </w:p>
    <w:p w14:paraId="4828A8F4" w14:textId="77777777" w:rsidR="008B1027" w:rsidRPr="008B1027" w:rsidRDefault="008B1027" w:rsidP="008B1027">
      <w:r w:rsidRPr="008B1027">
        <w:t>Decreto 555 de 2021 Alcaldía Mayor de Bogotá, D.C</w:t>
      </w:r>
    </w:p>
    <w:p w14:paraId="4E80549C" w14:textId="77777777" w:rsidR="008B1027" w:rsidRDefault="008B1027" w:rsidP="008E0002"/>
    <w:p w14:paraId="7D748796" w14:textId="77777777" w:rsidR="008B1027" w:rsidRDefault="008B1027" w:rsidP="008E0002"/>
    <w:p w14:paraId="790880B6" w14:textId="069E5BF2" w:rsidR="008B1027" w:rsidRDefault="008B1027" w:rsidP="008E0002">
      <w:r>
        <w:t xml:space="preserve">Y al decreto 646 de 2023 </w:t>
      </w:r>
    </w:p>
    <w:p w14:paraId="3E5F3B2B" w14:textId="64DF660F" w:rsidR="008B1027" w:rsidRDefault="008B1027" w:rsidP="008E0002">
      <w:hyperlink r:id="rId8" w:history="1">
        <w:r w:rsidRPr="005000F4">
          <w:rPr>
            <w:rStyle w:val="Hipervnculo"/>
          </w:rPr>
          <w:t>https://www.sdp.gov.co/sites/default/files/decreto_646_de_2023_1.pdf</w:t>
        </w:r>
      </w:hyperlink>
      <w:r>
        <w:t xml:space="preserve"> </w:t>
      </w:r>
    </w:p>
    <w:p w14:paraId="03BEC890" w14:textId="640AA7DA" w:rsidR="008B1027" w:rsidRDefault="004B75CD" w:rsidP="008E0002">
      <w:r>
        <w:t xml:space="preserve">este data set podría aportar mucho valor al modelo teniendo en cuenta la proyección del </w:t>
      </w:r>
      <w:proofErr w:type="spellStart"/>
      <w:r>
        <w:t>pot</w:t>
      </w:r>
      <w:proofErr w:type="spellEnd"/>
      <w:r>
        <w:t xml:space="preserve"> 2021 que a pesar de ser de 4 años atrás aun esta vigente y puede afectar el precio de la vivienda </w:t>
      </w:r>
    </w:p>
    <w:p w14:paraId="5885FFB0" w14:textId="77777777" w:rsidR="004B75CD" w:rsidRPr="004B75CD" w:rsidRDefault="004B75CD" w:rsidP="004B75CD">
      <w:r w:rsidRPr="004B75CD">
        <w:t xml:space="preserve">Para integrar de forma rigurosa el </w:t>
      </w:r>
      <w:r w:rsidRPr="004B75CD">
        <w:rPr>
          <w:b/>
          <w:bCs/>
        </w:rPr>
        <w:t>data set de Áreas de Actividad POT</w:t>
      </w:r>
      <w:r w:rsidRPr="004B75CD">
        <w:t xml:space="preserve"> en nuestro AVM, resulta fundamental enmarcarlo dentro del </w:t>
      </w:r>
      <w:r w:rsidRPr="004B75CD">
        <w:rPr>
          <w:b/>
          <w:bCs/>
        </w:rPr>
        <w:t>Plan de Ordenamiento Territorial – POT “Bogotá Reverdece 2022-2035”</w:t>
      </w:r>
      <w:r w:rsidRPr="004B75CD">
        <w:t xml:space="preserve"> y el </w:t>
      </w:r>
      <w:r w:rsidRPr="004B75CD">
        <w:rPr>
          <w:b/>
          <w:bCs/>
        </w:rPr>
        <w:t>Decreto 555 de 2021</w:t>
      </w:r>
      <w:r w:rsidRPr="004B75CD">
        <w:t>, que establecen:</w:t>
      </w:r>
    </w:p>
    <w:p w14:paraId="27AEE851" w14:textId="77777777" w:rsidR="004B75CD" w:rsidRPr="004B75CD" w:rsidRDefault="004B75CD" w:rsidP="004B75CD">
      <w:r w:rsidRPr="004B75CD">
        <w:pict w14:anchorId="251884A6">
          <v:rect id="_x0000_i1060" style="width:0;height:1.5pt" o:hralign="center" o:hrstd="t" o:hr="t" fillcolor="#a0a0a0" stroked="f"/>
        </w:pict>
      </w:r>
    </w:p>
    <w:p w14:paraId="7C133C0C" w14:textId="77777777" w:rsidR="004B75CD" w:rsidRPr="004B75CD" w:rsidRDefault="004B75CD" w:rsidP="004B75CD">
      <w:pPr>
        <w:rPr>
          <w:b/>
          <w:bCs/>
        </w:rPr>
      </w:pPr>
      <w:r w:rsidRPr="004B75CD">
        <w:rPr>
          <w:b/>
          <w:bCs/>
        </w:rPr>
        <w:t>1. Estructuras Territoriales del Decreto 555 de 2021</w:t>
      </w:r>
    </w:p>
    <w:p w14:paraId="08F38349" w14:textId="77777777" w:rsidR="004B75CD" w:rsidRPr="004B75CD" w:rsidRDefault="004B75CD" w:rsidP="004B75CD">
      <w:r w:rsidRPr="004B75CD">
        <w:t>El Decreto 555 crea cuatro grandes “estructuras territoriales” que ordenan el uso del suelo en Bogotá y sirven de guía para nuestro análisis espacial:</w:t>
      </w:r>
    </w:p>
    <w:p w14:paraId="010042CB" w14:textId="77777777" w:rsidR="004B75CD" w:rsidRPr="004B75CD" w:rsidRDefault="004B75CD" w:rsidP="004B75CD">
      <w:pPr>
        <w:numPr>
          <w:ilvl w:val="0"/>
          <w:numId w:val="7"/>
        </w:numPr>
      </w:pPr>
      <w:r w:rsidRPr="004B75CD">
        <w:rPr>
          <w:b/>
          <w:bCs/>
        </w:rPr>
        <w:t>Estructura Ecológica Principal (EEP):</w:t>
      </w:r>
      <w:r w:rsidRPr="004B75CD">
        <w:t xml:space="preserve"> Áreas para conservación y conexión de ecosistemas.</w:t>
      </w:r>
    </w:p>
    <w:p w14:paraId="020F0CDD" w14:textId="77777777" w:rsidR="004B75CD" w:rsidRPr="004B75CD" w:rsidRDefault="004B75CD" w:rsidP="004B75CD">
      <w:pPr>
        <w:numPr>
          <w:ilvl w:val="0"/>
          <w:numId w:val="7"/>
        </w:numPr>
      </w:pPr>
      <w:r w:rsidRPr="004B75CD">
        <w:rPr>
          <w:b/>
          <w:bCs/>
        </w:rPr>
        <w:t>Estructura Integradora de Patrimonios (EIP):</w:t>
      </w:r>
      <w:r w:rsidRPr="004B75CD">
        <w:t xml:space="preserve"> Patrimonio material, inmaterial y natural.</w:t>
      </w:r>
    </w:p>
    <w:p w14:paraId="166D26B9" w14:textId="77777777" w:rsidR="004B75CD" w:rsidRPr="004B75CD" w:rsidRDefault="004B75CD" w:rsidP="004B75CD">
      <w:pPr>
        <w:numPr>
          <w:ilvl w:val="0"/>
          <w:numId w:val="7"/>
        </w:numPr>
      </w:pPr>
      <w:r w:rsidRPr="004B75CD">
        <w:rPr>
          <w:b/>
          <w:bCs/>
        </w:rPr>
        <w:t>Estructura Funcional y del Cuidado (EFC):</w:t>
      </w:r>
      <w:r w:rsidRPr="004B75CD">
        <w:t xml:space="preserve"> Equipamientos y espacio público para servicios y cuidados.</w:t>
      </w:r>
    </w:p>
    <w:p w14:paraId="74733B2A" w14:textId="77777777" w:rsidR="004B75CD" w:rsidRPr="004B75CD" w:rsidRDefault="004B75CD" w:rsidP="004B75CD">
      <w:pPr>
        <w:numPr>
          <w:ilvl w:val="0"/>
          <w:numId w:val="7"/>
        </w:numPr>
      </w:pPr>
      <w:r w:rsidRPr="004B75CD">
        <w:rPr>
          <w:b/>
          <w:bCs/>
        </w:rPr>
        <w:t>Estructura Socioeconómica, Creativa y de Innovación (ESECI):</w:t>
      </w:r>
      <w:r w:rsidRPr="004B75CD">
        <w:t xml:space="preserve"> Dinámicas productivas, industrias creativas y clústeres urbanos. ET08_Urbanismo_y_Paisaj…</w:t>
      </w:r>
    </w:p>
    <w:p w14:paraId="03B1B568" w14:textId="77777777" w:rsidR="004B75CD" w:rsidRPr="004B75CD" w:rsidRDefault="004B75CD" w:rsidP="004B75CD">
      <w:r w:rsidRPr="004B75CD">
        <w:pict w14:anchorId="38A59FAF">
          <v:rect id="_x0000_i1061" style="width:0;height:1.5pt" o:hralign="center" o:hrstd="t" o:hr="t" fillcolor="#a0a0a0" stroked="f"/>
        </w:pict>
      </w:r>
    </w:p>
    <w:p w14:paraId="53890B4E" w14:textId="77777777" w:rsidR="004B75CD" w:rsidRPr="004B75CD" w:rsidRDefault="004B75CD" w:rsidP="004B75CD">
      <w:pPr>
        <w:rPr>
          <w:b/>
          <w:bCs/>
        </w:rPr>
      </w:pPr>
      <w:r w:rsidRPr="004B75CD">
        <w:rPr>
          <w:b/>
          <w:bCs/>
        </w:rPr>
        <w:t>2. Áreas de Actividad (Art. 240 del Decreto 555)</w:t>
      </w:r>
    </w:p>
    <w:p w14:paraId="4B8395D6" w14:textId="77777777" w:rsidR="004B75CD" w:rsidRPr="004B75CD" w:rsidRDefault="004B75CD" w:rsidP="004B75CD">
      <w:r w:rsidRPr="004B75CD">
        <w:t xml:space="preserve">El </w:t>
      </w:r>
      <w:r w:rsidRPr="004B75CD">
        <w:rPr>
          <w:b/>
          <w:bCs/>
        </w:rPr>
        <w:t>Artículo 240</w:t>
      </w:r>
      <w:r w:rsidRPr="004B75CD">
        <w:t xml:space="preserve"> clasifica el suelo urbano (o con vocación urbana) en tres </w:t>
      </w:r>
      <w:r w:rsidRPr="004B75CD">
        <w:rPr>
          <w:b/>
          <w:bCs/>
        </w:rPr>
        <w:t>Áreas de Actividad</w:t>
      </w:r>
      <w:r w:rsidRPr="004B75CD">
        <w:t>, según su intensidad de mezcla de usos y su función dentro de la ciudad: ET08_Urbanismo_y_Paisaj…</w:t>
      </w:r>
    </w:p>
    <w:p w14:paraId="12181F2B" w14:textId="77777777" w:rsidR="004B75CD" w:rsidRPr="004B75CD" w:rsidRDefault="004B75CD" w:rsidP="004B75CD">
      <w:pPr>
        <w:numPr>
          <w:ilvl w:val="0"/>
          <w:numId w:val="8"/>
        </w:numPr>
      </w:pPr>
      <w:r w:rsidRPr="004B75CD">
        <w:rPr>
          <w:b/>
          <w:bCs/>
        </w:rPr>
        <w:t>Área de Actividad Estructurante (AAE):</w:t>
      </w:r>
    </w:p>
    <w:p w14:paraId="427061BA" w14:textId="77777777" w:rsidR="004B75CD" w:rsidRPr="004B75CD" w:rsidRDefault="004B75CD" w:rsidP="004B75CD">
      <w:pPr>
        <w:numPr>
          <w:ilvl w:val="1"/>
          <w:numId w:val="8"/>
        </w:numPr>
      </w:pPr>
      <w:r w:rsidRPr="004B75CD">
        <w:rPr>
          <w:b/>
          <w:bCs/>
        </w:rPr>
        <w:t>Receptora de vivienda de interés social:</w:t>
      </w:r>
      <w:r w:rsidRPr="004B75CD">
        <w:t xml:space="preserve"> Zonas que promueven VIS/VIP.</w:t>
      </w:r>
    </w:p>
    <w:p w14:paraId="6C6203BF" w14:textId="77777777" w:rsidR="004B75CD" w:rsidRPr="004B75CD" w:rsidRDefault="004B75CD" w:rsidP="004B75CD">
      <w:pPr>
        <w:numPr>
          <w:ilvl w:val="1"/>
          <w:numId w:val="8"/>
        </w:numPr>
      </w:pPr>
      <w:r w:rsidRPr="004B75CD">
        <w:rPr>
          <w:b/>
          <w:bCs/>
        </w:rPr>
        <w:lastRenderedPageBreak/>
        <w:t>Receptora de actividades económicas:</w:t>
      </w:r>
      <w:r w:rsidRPr="004B75CD">
        <w:t xml:space="preserve"> Corredores interconectados de alta/media capacidad que potencian el empleo.</w:t>
      </w:r>
    </w:p>
    <w:p w14:paraId="073694CD" w14:textId="77777777" w:rsidR="004B75CD" w:rsidRPr="004B75CD" w:rsidRDefault="004B75CD" w:rsidP="004B75CD">
      <w:pPr>
        <w:numPr>
          <w:ilvl w:val="0"/>
          <w:numId w:val="8"/>
        </w:numPr>
      </w:pPr>
      <w:r w:rsidRPr="004B75CD">
        <w:rPr>
          <w:b/>
          <w:bCs/>
        </w:rPr>
        <w:t>Área de Actividad de Proximidad (AAP):</w:t>
      </w:r>
    </w:p>
    <w:p w14:paraId="53F72ADA" w14:textId="77777777" w:rsidR="004B75CD" w:rsidRPr="004B75CD" w:rsidRDefault="004B75CD" w:rsidP="004B75CD">
      <w:pPr>
        <w:numPr>
          <w:ilvl w:val="1"/>
          <w:numId w:val="8"/>
        </w:numPr>
      </w:pPr>
      <w:r w:rsidRPr="004B75CD">
        <w:rPr>
          <w:b/>
          <w:bCs/>
        </w:rPr>
        <w:t>Generadora de soportes urbanos:</w:t>
      </w:r>
      <w:r w:rsidRPr="004B75CD">
        <w:t xml:space="preserve"> Sectores con potencial para dotaciones y servicios locales.</w:t>
      </w:r>
    </w:p>
    <w:p w14:paraId="4C33D7BE" w14:textId="77777777" w:rsidR="004B75CD" w:rsidRPr="004B75CD" w:rsidRDefault="004B75CD" w:rsidP="004B75CD">
      <w:pPr>
        <w:numPr>
          <w:ilvl w:val="1"/>
          <w:numId w:val="8"/>
        </w:numPr>
      </w:pPr>
      <w:r w:rsidRPr="004B75CD">
        <w:rPr>
          <w:b/>
          <w:bCs/>
        </w:rPr>
        <w:t>Receptora de soportes urbanos:</w:t>
      </w:r>
      <w:r w:rsidRPr="004B75CD">
        <w:t xml:space="preserve"> Tejidos residenciales donde se prioriza la cercanía a equipamientos.</w:t>
      </w:r>
    </w:p>
    <w:p w14:paraId="7BE87919" w14:textId="77777777" w:rsidR="004B75CD" w:rsidRPr="004B75CD" w:rsidRDefault="004B75CD" w:rsidP="004B75CD">
      <w:pPr>
        <w:numPr>
          <w:ilvl w:val="0"/>
          <w:numId w:val="8"/>
        </w:numPr>
      </w:pPr>
      <w:r w:rsidRPr="004B75CD">
        <w:rPr>
          <w:b/>
          <w:bCs/>
        </w:rPr>
        <w:t>Área de Actividad Grandes Servicios Metropolitanos (AAGSM):</w:t>
      </w:r>
      <w:r w:rsidRPr="004B75CD">
        <w:br/>
        <w:t>Zonas con equipamientos especializados de escala metropolitana (hospitales, universidades, grandes servicios). abc-pot-septiembre2021-…</w:t>
      </w:r>
    </w:p>
    <w:p w14:paraId="207AB58F" w14:textId="77777777" w:rsidR="004B75CD" w:rsidRPr="004B75CD" w:rsidRDefault="004B75CD" w:rsidP="004B75CD">
      <w:r w:rsidRPr="004B75CD">
        <w:pict w14:anchorId="44EBCC13">
          <v:rect id="_x0000_i1062" style="width:0;height:1.5pt" o:hralign="center" o:hrstd="t" o:hr="t" fillcolor="#a0a0a0" stroked="f"/>
        </w:pict>
      </w:r>
    </w:p>
    <w:p w14:paraId="1E9403FF" w14:textId="77777777" w:rsidR="004B75CD" w:rsidRPr="004B75CD" w:rsidRDefault="004B75CD" w:rsidP="004B75CD">
      <w:pPr>
        <w:rPr>
          <w:b/>
          <w:bCs/>
        </w:rPr>
      </w:pPr>
      <w:r w:rsidRPr="004B75CD">
        <w:rPr>
          <w:b/>
          <w:bCs/>
        </w:rPr>
        <w:t>3. Aplicación en ET08 “Urbanismo y Paisajismo”</w:t>
      </w:r>
    </w:p>
    <w:p w14:paraId="2F6A0755" w14:textId="77777777" w:rsidR="004B75CD" w:rsidRPr="004B75CD" w:rsidRDefault="004B75CD" w:rsidP="004B75CD">
      <w:r w:rsidRPr="004B75CD">
        <w:t xml:space="preserve">En el </w:t>
      </w:r>
      <w:r w:rsidRPr="004B75CD">
        <w:rPr>
          <w:b/>
          <w:bCs/>
        </w:rPr>
        <w:t>Anexo H (Apéndice 5) del Estudio ET08</w:t>
      </w:r>
      <w:r w:rsidRPr="004B75CD">
        <w:t xml:space="preserve">, que soporta la factibilidad de la </w:t>
      </w:r>
      <w:r w:rsidRPr="004B75CD">
        <w:rPr>
          <w:b/>
          <w:bCs/>
        </w:rPr>
        <w:t>Línea 2 del Metro</w:t>
      </w:r>
      <w:r w:rsidRPr="004B75CD">
        <w:t>, se mapean esas tres áreas de actividad a cada estación, de modo de:</w:t>
      </w:r>
    </w:p>
    <w:p w14:paraId="11A81C7A" w14:textId="77777777" w:rsidR="004B75CD" w:rsidRPr="004B75CD" w:rsidRDefault="004B75CD" w:rsidP="004B75CD">
      <w:pPr>
        <w:numPr>
          <w:ilvl w:val="0"/>
          <w:numId w:val="9"/>
        </w:numPr>
      </w:pPr>
      <w:r w:rsidRPr="004B75CD">
        <w:rPr>
          <w:b/>
          <w:bCs/>
        </w:rPr>
        <w:t>Identificar</w:t>
      </w:r>
      <w:r w:rsidRPr="004B75CD">
        <w:t xml:space="preserve"> qué estaciones se ubican en AAE, AAP o AAGSM.</w:t>
      </w:r>
    </w:p>
    <w:p w14:paraId="79592A91" w14:textId="77777777" w:rsidR="004B75CD" w:rsidRPr="004B75CD" w:rsidRDefault="004B75CD" w:rsidP="004B75CD">
      <w:pPr>
        <w:numPr>
          <w:ilvl w:val="0"/>
          <w:numId w:val="9"/>
        </w:numPr>
      </w:pPr>
      <w:r w:rsidRPr="004B75CD">
        <w:rPr>
          <w:b/>
          <w:bCs/>
        </w:rPr>
        <w:t>Priorizar</w:t>
      </w:r>
      <w:r w:rsidRPr="004B75CD">
        <w:t xml:space="preserve"> intervenciones y </w:t>
      </w:r>
      <w:proofErr w:type="spellStart"/>
      <w:r w:rsidRPr="004B75CD">
        <w:t>dummy</w:t>
      </w:r>
      <w:proofErr w:type="spellEnd"/>
      <w:r w:rsidRPr="004B75CD">
        <w:t>-variables de “</w:t>
      </w:r>
      <w:proofErr w:type="spellStart"/>
      <w:r w:rsidRPr="004B75CD">
        <w:t>uso_Estructurante</w:t>
      </w:r>
      <w:proofErr w:type="spellEnd"/>
      <w:r w:rsidRPr="004B75CD">
        <w:t>”, “</w:t>
      </w:r>
      <w:proofErr w:type="spellStart"/>
      <w:r w:rsidRPr="004B75CD">
        <w:t>uso_Proximidad</w:t>
      </w:r>
      <w:proofErr w:type="spellEnd"/>
      <w:r w:rsidRPr="004B75CD">
        <w:t>” o “</w:t>
      </w:r>
      <w:proofErr w:type="spellStart"/>
      <w:r w:rsidRPr="004B75CD">
        <w:t>uso_GrandesServicios</w:t>
      </w:r>
      <w:proofErr w:type="spellEnd"/>
      <w:r w:rsidRPr="004B75CD">
        <w:t>” para nuestro modelo AVM.</w:t>
      </w:r>
    </w:p>
    <w:p w14:paraId="6CC2E9FE" w14:textId="77777777" w:rsidR="004B75CD" w:rsidRPr="004B75CD" w:rsidRDefault="004B75CD" w:rsidP="004B75CD">
      <w:pPr>
        <w:numPr>
          <w:ilvl w:val="0"/>
          <w:numId w:val="9"/>
        </w:numPr>
      </w:pPr>
      <w:r w:rsidRPr="004B75CD">
        <w:rPr>
          <w:b/>
          <w:bCs/>
        </w:rPr>
        <w:t>Establecer</w:t>
      </w:r>
      <w:r w:rsidRPr="004B75CD">
        <w:t xml:space="preserve"> estrategias de diseño urbano (nodos multimodales, corredores verdes, etc.) en función de la categoría de cada estación. ET08_Urbanismo_y_Paisaj…</w:t>
      </w:r>
    </w:p>
    <w:p w14:paraId="0C97B614" w14:textId="77777777" w:rsidR="004B75CD" w:rsidRPr="004B75CD" w:rsidRDefault="004B75CD" w:rsidP="004B75CD">
      <w:r w:rsidRPr="004B75CD">
        <w:pict w14:anchorId="2500C407">
          <v:rect id="_x0000_i1063" style="width:0;height:1.5pt" o:hralign="center" o:hrstd="t" o:hr="t" fillcolor="#a0a0a0" stroked="f"/>
        </w:pict>
      </w:r>
    </w:p>
    <w:p w14:paraId="3330DA09" w14:textId="77777777" w:rsidR="004B75CD" w:rsidRPr="004B75CD" w:rsidRDefault="004B75CD" w:rsidP="004B75CD">
      <w:pPr>
        <w:rPr>
          <w:b/>
          <w:bCs/>
        </w:rPr>
      </w:pPr>
      <w:r w:rsidRPr="004B75CD">
        <w:rPr>
          <w:b/>
          <w:bCs/>
        </w:rPr>
        <w:t>4. ABC-POT “Bogotá Reverdece”</w:t>
      </w:r>
    </w:p>
    <w:p w14:paraId="74294AA8" w14:textId="77777777" w:rsidR="004B75CD" w:rsidRPr="004B75CD" w:rsidRDefault="004B75CD" w:rsidP="004B75CD">
      <w:r w:rsidRPr="004B75CD">
        <w:t xml:space="preserve">El documento </w:t>
      </w:r>
      <w:r w:rsidRPr="004B75CD">
        <w:rPr>
          <w:b/>
          <w:bCs/>
        </w:rPr>
        <w:t>ABC del POT</w:t>
      </w:r>
      <w:r w:rsidRPr="004B75CD">
        <w:t xml:space="preserve"> sintetiza:</w:t>
      </w:r>
    </w:p>
    <w:p w14:paraId="6F22027E" w14:textId="77777777" w:rsidR="004B75CD" w:rsidRPr="004B75CD" w:rsidRDefault="004B75CD" w:rsidP="004B75CD">
      <w:pPr>
        <w:numPr>
          <w:ilvl w:val="0"/>
          <w:numId w:val="10"/>
        </w:numPr>
      </w:pPr>
      <w:r w:rsidRPr="004B75CD">
        <w:t xml:space="preserve">La visión de </w:t>
      </w:r>
      <w:r w:rsidRPr="004B75CD">
        <w:rPr>
          <w:b/>
          <w:bCs/>
        </w:rPr>
        <w:t>“ciudad de proximidad”</w:t>
      </w:r>
      <w:r w:rsidRPr="004B75CD">
        <w:t xml:space="preserve"> (viajes ≤ 30 min a pie/bici/transporte público).</w:t>
      </w:r>
    </w:p>
    <w:p w14:paraId="06C69888" w14:textId="77777777" w:rsidR="004B75CD" w:rsidRPr="004B75CD" w:rsidRDefault="004B75CD" w:rsidP="004B75CD">
      <w:pPr>
        <w:numPr>
          <w:ilvl w:val="0"/>
          <w:numId w:val="10"/>
        </w:numPr>
      </w:pPr>
      <w:r w:rsidRPr="004B75CD">
        <w:t xml:space="preserve">Las </w:t>
      </w:r>
      <w:r w:rsidRPr="004B75CD">
        <w:rPr>
          <w:b/>
          <w:bCs/>
        </w:rPr>
        <w:t>12 políticas</w:t>
      </w:r>
      <w:r w:rsidRPr="004B75CD">
        <w:t xml:space="preserve"> distritales (movilidad sostenible, cuidado, ecourbanismo, etc.) que sustentan el POT.</w:t>
      </w:r>
    </w:p>
    <w:p w14:paraId="0BD65D85" w14:textId="77777777" w:rsidR="004B75CD" w:rsidRPr="004B75CD" w:rsidRDefault="004B75CD" w:rsidP="004B75CD">
      <w:pPr>
        <w:numPr>
          <w:ilvl w:val="0"/>
          <w:numId w:val="10"/>
        </w:numPr>
      </w:pPr>
      <w:r w:rsidRPr="004B75CD">
        <w:t xml:space="preserve">La </w:t>
      </w:r>
      <w:r w:rsidRPr="004B75CD">
        <w:rPr>
          <w:b/>
          <w:bCs/>
        </w:rPr>
        <w:t>escalabilidad</w:t>
      </w:r>
      <w:r w:rsidRPr="004B75CD">
        <w:t xml:space="preserve"> del modelo en tres niveles (regional, distrital, local </w:t>
      </w:r>
      <w:proofErr w:type="spellStart"/>
      <w:r w:rsidRPr="004B75CD">
        <w:t>via</w:t>
      </w:r>
      <w:proofErr w:type="spellEnd"/>
      <w:r w:rsidRPr="004B75CD">
        <w:t xml:space="preserve"> UPL).</w:t>
      </w:r>
    </w:p>
    <w:p w14:paraId="39CE6F10" w14:textId="77777777" w:rsidR="004B75CD" w:rsidRPr="004B75CD" w:rsidRDefault="004B75CD" w:rsidP="004B75CD">
      <w:pPr>
        <w:numPr>
          <w:ilvl w:val="0"/>
          <w:numId w:val="10"/>
        </w:numPr>
      </w:pPr>
      <w:r w:rsidRPr="004B75CD">
        <w:t xml:space="preserve">El </w:t>
      </w:r>
      <w:r w:rsidRPr="004B75CD">
        <w:rPr>
          <w:b/>
          <w:bCs/>
        </w:rPr>
        <w:t>énfasis</w:t>
      </w:r>
      <w:r w:rsidRPr="004B75CD">
        <w:t xml:space="preserve"> en conservación ecológica, revitalización urbana y generación de </w:t>
      </w:r>
      <w:r w:rsidRPr="004B75CD">
        <w:rPr>
          <w:b/>
          <w:bCs/>
        </w:rPr>
        <w:t>equipamientos de cuidado</w:t>
      </w:r>
      <w:r w:rsidRPr="004B75CD">
        <w:t>. abc-pot-septiembre2021-…</w:t>
      </w:r>
    </w:p>
    <w:p w14:paraId="3F87980C" w14:textId="77777777" w:rsidR="004B75CD" w:rsidRPr="004B75CD" w:rsidRDefault="004B75CD" w:rsidP="004B75CD">
      <w:r w:rsidRPr="004B75CD">
        <w:pict w14:anchorId="296D1331">
          <v:rect id="_x0000_i1064" style="width:0;height:1.5pt" o:hralign="center" o:hrstd="t" o:hr="t" fillcolor="#a0a0a0" stroked="f"/>
        </w:pict>
      </w:r>
    </w:p>
    <w:p w14:paraId="4FE0D907" w14:textId="77777777" w:rsidR="004B75CD" w:rsidRPr="004B75CD" w:rsidRDefault="004B75CD" w:rsidP="004B75CD">
      <w:pPr>
        <w:rPr>
          <w:b/>
          <w:bCs/>
        </w:rPr>
      </w:pPr>
      <w:r w:rsidRPr="004B75CD">
        <w:rPr>
          <w:b/>
          <w:bCs/>
        </w:rPr>
        <w:lastRenderedPageBreak/>
        <w:t>Conclusión para nuestro TFM</w:t>
      </w:r>
    </w:p>
    <w:p w14:paraId="7FF2C51E" w14:textId="77777777" w:rsidR="004B75CD" w:rsidRPr="004B75CD" w:rsidRDefault="004B75CD" w:rsidP="004B75CD">
      <w:pPr>
        <w:numPr>
          <w:ilvl w:val="0"/>
          <w:numId w:val="11"/>
        </w:numPr>
      </w:pPr>
      <w:r w:rsidRPr="004B75CD">
        <w:rPr>
          <w:b/>
          <w:bCs/>
        </w:rPr>
        <w:t>Codificar</w:t>
      </w:r>
      <w:r w:rsidRPr="004B75CD">
        <w:t xml:space="preserve"> en </w:t>
      </w:r>
      <w:proofErr w:type="spellStart"/>
      <w:r w:rsidRPr="004B75CD">
        <w:t>df_join</w:t>
      </w:r>
      <w:proofErr w:type="spellEnd"/>
      <w:r w:rsidRPr="004B75CD">
        <w:t xml:space="preserve"> los tres tipos de área de actividad (AAE, AAP, AAGSM) según la columna NOMBRE_ARE de </w:t>
      </w:r>
      <w:proofErr w:type="spellStart"/>
      <w:r w:rsidRPr="004B75CD">
        <w:t>area_pot</w:t>
      </w:r>
      <w:proofErr w:type="spellEnd"/>
      <w:r w:rsidRPr="004B75CD">
        <w:t>.</w:t>
      </w:r>
    </w:p>
    <w:p w14:paraId="1F811F77" w14:textId="77777777" w:rsidR="004B75CD" w:rsidRPr="004B75CD" w:rsidRDefault="004B75CD" w:rsidP="004B75CD">
      <w:pPr>
        <w:numPr>
          <w:ilvl w:val="0"/>
          <w:numId w:val="11"/>
        </w:numPr>
      </w:pPr>
      <w:r w:rsidRPr="004B75CD">
        <w:rPr>
          <w:b/>
          <w:bCs/>
        </w:rPr>
        <w:t>Generar</w:t>
      </w:r>
      <w:r w:rsidRPr="004B75CD">
        <w:t xml:space="preserve"> </w:t>
      </w:r>
      <w:proofErr w:type="spellStart"/>
      <w:r w:rsidRPr="004B75CD">
        <w:t>dummies</w:t>
      </w:r>
      <w:proofErr w:type="spellEnd"/>
      <w:r w:rsidRPr="004B75CD">
        <w:t xml:space="preserve"> para cada categoría, en lugar de utilizar un único campo genérico.</w:t>
      </w:r>
    </w:p>
    <w:p w14:paraId="37A0CC9B" w14:textId="77777777" w:rsidR="004B75CD" w:rsidRPr="004B75CD" w:rsidRDefault="004B75CD" w:rsidP="004B75CD">
      <w:pPr>
        <w:numPr>
          <w:ilvl w:val="0"/>
          <w:numId w:val="11"/>
        </w:numPr>
      </w:pPr>
      <w:r w:rsidRPr="004B75CD">
        <w:rPr>
          <w:b/>
          <w:bCs/>
        </w:rPr>
        <w:t>Vincular</w:t>
      </w:r>
      <w:r w:rsidRPr="004B75CD">
        <w:t xml:space="preserve"> esas categorías con otras variables (valor_m2, estrato, delitos, transporte, colegios) para capturar el efecto del </w:t>
      </w:r>
      <w:r w:rsidRPr="004B75CD">
        <w:rPr>
          <w:b/>
          <w:bCs/>
        </w:rPr>
        <w:t>entorno normativo</w:t>
      </w:r>
      <w:r w:rsidRPr="004B75CD">
        <w:t xml:space="preserve"> en el valor del m².</w:t>
      </w:r>
    </w:p>
    <w:p w14:paraId="2ED62EE0" w14:textId="77777777" w:rsidR="004B75CD" w:rsidRPr="004B75CD" w:rsidRDefault="004B75CD" w:rsidP="004B75CD">
      <w:pPr>
        <w:numPr>
          <w:ilvl w:val="0"/>
          <w:numId w:val="11"/>
        </w:numPr>
      </w:pPr>
      <w:r w:rsidRPr="004B75CD">
        <w:rPr>
          <w:b/>
          <w:bCs/>
        </w:rPr>
        <w:t>Documentar</w:t>
      </w:r>
      <w:r w:rsidRPr="004B75CD">
        <w:t xml:space="preserve"> en la memoria que estas decisiones se basan directamente en:</w:t>
      </w:r>
    </w:p>
    <w:p w14:paraId="69D115AC" w14:textId="77777777" w:rsidR="004B75CD" w:rsidRPr="004B75CD" w:rsidRDefault="004B75CD" w:rsidP="004B75CD">
      <w:pPr>
        <w:numPr>
          <w:ilvl w:val="1"/>
          <w:numId w:val="11"/>
        </w:numPr>
      </w:pPr>
      <w:r w:rsidRPr="004B75CD">
        <w:t>Art. 240 Decreto 555 de 2021 (definición de áreas de actividad) ET08_Urbanismo_y_Paisaj…</w:t>
      </w:r>
    </w:p>
    <w:p w14:paraId="15396092" w14:textId="77777777" w:rsidR="004B75CD" w:rsidRPr="004B75CD" w:rsidRDefault="004B75CD" w:rsidP="004B75CD">
      <w:pPr>
        <w:numPr>
          <w:ilvl w:val="1"/>
          <w:numId w:val="11"/>
        </w:numPr>
      </w:pPr>
      <w:r w:rsidRPr="004B75CD">
        <w:t>Anexo 5 ET08 (aplicación a corredores de Metro) ET08_Urbanismo_y_Paisaj…</w:t>
      </w:r>
    </w:p>
    <w:p w14:paraId="553A88E5" w14:textId="77777777" w:rsidR="004B75CD" w:rsidRPr="004B75CD" w:rsidRDefault="004B75CD" w:rsidP="004B75CD">
      <w:pPr>
        <w:numPr>
          <w:ilvl w:val="1"/>
          <w:numId w:val="11"/>
        </w:numPr>
      </w:pPr>
      <w:r w:rsidRPr="004B75CD">
        <w:t xml:space="preserve">ABC-POT 2022-2035 (visión general y políticas de ciudad de proximidad) </w:t>
      </w:r>
    </w:p>
    <w:p w14:paraId="137DC143" w14:textId="77777777" w:rsidR="004B75CD" w:rsidRPr="004B75CD" w:rsidRDefault="004B75CD" w:rsidP="004B75CD">
      <w:r w:rsidRPr="004B75CD">
        <w:rPr>
          <w:b/>
          <w:bCs/>
        </w:rPr>
        <w:t>Nota metodológica para el TFM: Integración de Áreas de Actividad POT</w:t>
      </w:r>
    </w:p>
    <w:p w14:paraId="5A6BD80B" w14:textId="77777777" w:rsidR="004B75CD" w:rsidRPr="004B75CD" w:rsidRDefault="004B75CD" w:rsidP="004B75CD">
      <w:r w:rsidRPr="004B75CD">
        <w:t xml:space="preserve">El análisis del entorno urbano se enriqueció con la capa oficial de </w:t>
      </w:r>
      <w:r w:rsidRPr="004B75CD">
        <w:rPr>
          <w:b/>
          <w:bCs/>
        </w:rPr>
        <w:t>“Área de Actividad – POT Bogotá D.C.”</w:t>
      </w:r>
      <w:r w:rsidRPr="004B75CD">
        <w:t xml:space="preserve">, derivada de la Resolución 555 de 2021 (Secretaría Distrital de Planeación). Dicha resolución establece, en su Artículo 240, tres categorías de Área de Actividad (AAE: estructurante receptora de vivienda o de actividades económicas; AAP: de proximidad generadora o receptora de soportes urbanos; y AAGSM: Grandes Servicios Metropolitanos), además de zonas sometidas a Plan Especial de Manejo y Protección (PEMP). El </w:t>
      </w:r>
      <w:proofErr w:type="spellStart"/>
      <w:r w:rsidRPr="004B75CD">
        <w:t>dataset</w:t>
      </w:r>
      <w:proofErr w:type="spellEnd"/>
      <w:r w:rsidRPr="004B75CD">
        <w:t>, formado por polígonos georreferenciados en EPSG:3116, se vinculó con cada manzana catastral (</w:t>
      </w:r>
      <w:proofErr w:type="spellStart"/>
      <w:r w:rsidRPr="004B75CD">
        <w:t>df_join</w:t>
      </w:r>
      <w:proofErr w:type="spellEnd"/>
      <w:r w:rsidRPr="004B75CD">
        <w:t xml:space="preserve">) mediante una </w:t>
      </w:r>
      <w:r w:rsidRPr="004B75CD">
        <w:rPr>
          <w:b/>
          <w:bCs/>
        </w:rPr>
        <w:t>unión espacial por intersección</w:t>
      </w:r>
      <w:r w:rsidRPr="004B75CD">
        <w:t xml:space="preserve"> (</w:t>
      </w:r>
      <w:proofErr w:type="spellStart"/>
      <w:r w:rsidRPr="004B75CD">
        <w:t>sjoin</w:t>
      </w:r>
      <w:proofErr w:type="spellEnd"/>
      <w:r w:rsidRPr="004B75CD">
        <w:t xml:space="preserve">, </w:t>
      </w:r>
      <w:proofErr w:type="spellStart"/>
      <w:r w:rsidRPr="004B75CD">
        <w:t>predicate</w:t>
      </w:r>
      <w:proofErr w:type="spellEnd"/>
      <w:r w:rsidRPr="004B75CD">
        <w:t>=</w:t>
      </w:r>
      <w:proofErr w:type="spellStart"/>
      <w:r w:rsidRPr="004B75CD">
        <w:t>intersects</w:t>
      </w:r>
      <w:proofErr w:type="spellEnd"/>
      <w:r w:rsidRPr="004B75CD">
        <w:t xml:space="preserve">), asignando la etiqueta </w:t>
      </w:r>
      <w:proofErr w:type="spellStart"/>
      <w:r w:rsidRPr="004B75CD">
        <w:t>area_actividad</w:t>
      </w:r>
      <w:proofErr w:type="spellEnd"/>
      <w:r w:rsidRPr="004B75CD">
        <w:t xml:space="preserve"> a cada registro. A continuación, se crearon variables </w:t>
      </w:r>
      <w:proofErr w:type="spellStart"/>
      <w:r w:rsidRPr="004B75CD">
        <w:t>dummy</w:t>
      </w:r>
      <w:proofErr w:type="spellEnd"/>
      <w:r w:rsidRPr="004B75CD">
        <w:t xml:space="preserve"> para cada </w:t>
      </w:r>
      <w:proofErr w:type="spellStart"/>
      <w:r w:rsidRPr="004B75CD">
        <w:t>sub-categoría</w:t>
      </w:r>
      <w:proofErr w:type="spellEnd"/>
      <w:r w:rsidRPr="004B75CD">
        <w:t xml:space="preserve"> basada en palabras clave (“vivienda”, “actividades económicas”, “servicios metropolitanos”, “generadora de soportes urbanos”, “receptora de soportes urbanos” y “Plan Especial”), con el fin de cuantificar la influencia del </w:t>
      </w:r>
      <w:r w:rsidRPr="004B75CD">
        <w:rPr>
          <w:b/>
          <w:bCs/>
        </w:rPr>
        <w:t>uso predominante del suelo</w:t>
      </w:r>
      <w:r w:rsidRPr="004B75CD">
        <w:t xml:space="preserve"> en la valoración del metro cuadrado. Esta aproximación respalda la calidad contextual del modelo hedonista y alinea el análisis con las políticas de </w:t>
      </w:r>
      <w:r w:rsidRPr="004B75CD">
        <w:rPr>
          <w:b/>
          <w:bCs/>
        </w:rPr>
        <w:t>Gobierno Abierto</w:t>
      </w:r>
      <w:r w:rsidRPr="004B75CD">
        <w:t xml:space="preserve"> y </w:t>
      </w:r>
      <w:r w:rsidRPr="004B75CD">
        <w:rPr>
          <w:b/>
          <w:bCs/>
        </w:rPr>
        <w:t>Catastro Multipropósito</w:t>
      </w:r>
      <w:r w:rsidRPr="004B75CD">
        <w:t xml:space="preserve"> de Bogotá.</w:t>
      </w:r>
    </w:p>
    <w:p w14:paraId="764BFA61" w14:textId="77777777" w:rsidR="004B75CD" w:rsidRPr="004B75CD" w:rsidRDefault="004B75CD" w:rsidP="004B75CD">
      <w:r w:rsidRPr="004B75CD">
        <w:rPr>
          <w:b/>
          <w:bCs/>
        </w:rPr>
        <w:t>Referencias clave</w:t>
      </w:r>
    </w:p>
    <w:p w14:paraId="5BD15A04" w14:textId="77777777" w:rsidR="004B75CD" w:rsidRPr="004B75CD" w:rsidRDefault="004B75CD" w:rsidP="004B75CD">
      <w:pPr>
        <w:numPr>
          <w:ilvl w:val="0"/>
          <w:numId w:val="12"/>
        </w:numPr>
      </w:pPr>
      <w:r w:rsidRPr="004B75CD">
        <w:t xml:space="preserve">Alcaldía Mayor de Bogotá – Secretaría Distrital de Planeación. (2021). </w:t>
      </w:r>
      <w:r w:rsidRPr="004B75CD">
        <w:rPr>
          <w:i/>
          <w:iCs/>
        </w:rPr>
        <w:t>Resolución 555 de 2021 – Área de Actividad POT Bogotá D.C.</w:t>
      </w:r>
      <w:r w:rsidRPr="004B75CD">
        <w:t xml:space="preserve"> Portal de Datos Abiertos de Bogotá.</w:t>
      </w:r>
    </w:p>
    <w:p w14:paraId="0977322F" w14:textId="77777777" w:rsidR="004B75CD" w:rsidRPr="004B75CD" w:rsidRDefault="004B75CD" w:rsidP="004B75CD">
      <w:pPr>
        <w:numPr>
          <w:ilvl w:val="0"/>
          <w:numId w:val="12"/>
        </w:numPr>
      </w:pPr>
      <w:r w:rsidRPr="004B75CD">
        <w:lastRenderedPageBreak/>
        <w:t xml:space="preserve">Alcaldía Mayor de Bogotá – Secretaría Distrital de Planeación. (2021). </w:t>
      </w:r>
      <w:r w:rsidRPr="004B75CD">
        <w:rPr>
          <w:i/>
          <w:iCs/>
        </w:rPr>
        <w:t>Plan de Ordenamiento Territorial “Bogotá Reverdece” 2022-2035</w:t>
      </w:r>
      <w:r w:rsidRPr="004B75CD">
        <w:t>.</w:t>
      </w:r>
    </w:p>
    <w:p w14:paraId="3CCCE9AD" w14:textId="77777777" w:rsidR="004B75CD" w:rsidRPr="004B75CD" w:rsidRDefault="004B75CD" w:rsidP="004B75CD">
      <w:pPr>
        <w:numPr>
          <w:ilvl w:val="0"/>
          <w:numId w:val="12"/>
        </w:numPr>
      </w:pPr>
      <w:r w:rsidRPr="004B75CD">
        <w:t xml:space="preserve">Bonilla, D. &amp; Díaz, F. (2021). </w:t>
      </w:r>
      <w:r w:rsidRPr="004B75CD">
        <w:rPr>
          <w:i/>
          <w:iCs/>
        </w:rPr>
        <w:t>Efectos del transporte masivo sobre el valor del suelo en ciudades latinoamericanas</w:t>
      </w:r>
      <w:r w:rsidRPr="004B75CD">
        <w:t>. Revista de Economía Urbana.</w:t>
      </w:r>
    </w:p>
    <w:p w14:paraId="5151247F"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AAE</w:t>
      </w:r>
      <w:proofErr w:type="gramEnd"/>
      <w:r w:rsidRPr="00EB3437">
        <w:rPr>
          <w:rFonts w:ascii="Times New Roman" w:eastAsia="Times New Roman" w:hAnsi="Times New Roman" w:cs="Times New Roman"/>
          <w:b/>
          <w:bCs/>
          <w:kern w:val="0"/>
          <w:lang w:eastAsia="es-CO"/>
          <w14:ligatures w14:val="none"/>
        </w:rPr>
        <w:t xml:space="preserve"> vivienda (</w:t>
      </w:r>
      <w:proofErr w:type="spellStart"/>
      <w:r w:rsidRPr="00EB3437">
        <w:rPr>
          <w:rFonts w:ascii="Courier New" w:eastAsia="Times New Roman" w:hAnsi="Courier New" w:cs="Courier New"/>
          <w:b/>
          <w:bCs/>
          <w:kern w:val="0"/>
          <w:sz w:val="20"/>
          <w:szCs w:val="20"/>
          <w:lang w:eastAsia="es-CO"/>
          <w14:ligatures w14:val="none"/>
        </w:rPr>
        <w:t>uso_aae_vivienda</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Zona prioritaria para el desarrollo de vivienda de interés social, con incentivos a la construcción residencial y restringida densidad comercial.</w:t>
      </w:r>
    </w:p>
    <w:p w14:paraId="30F205F0"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AAE</w:t>
      </w:r>
      <w:proofErr w:type="gramEnd"/>
      <w:r w:rsidRPr="00EB3437">
        <w:rPr>
          <w:rFonts w:ascii="Times New Roman" w:eastAsia="Times New Roman" w:hAnsi="Times New Roman" w:cs="Times New Roman"/>
          <w:b/>
          <w:bCs/>
          <w:kern w:val="0"/>
          <w:lang w:eastAsia="es-CO"/>
          <w14:ligatures w14:val="none"/>
        </w:rPr>
        <w:t xml:space="preserve"> economía (</w:t>
      </w:r>
      <w:proofErr w:type="spellStart"/>
      <w:r w:rsidRPr="00EB3437">
        <w:rPr>
          <w:rFonts w:ascii="Courier New" w:eastAsia="Times New Roman" w:hAnsi="Courier New" w:cs="Courier New"/>
          <w:b/>
          <w:bCs/>
          <w:kern w:val="0"/>
          <w:sz w:val="20"/>
          <w:szCs w:val="20"/>
          <w:lang w:eastAsia="es-CO"/>
          <w14:ligatures w14:val="none"/>
        </w:rPr>
        <w:t>uso_aae_economica</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Corredor estructurante receptor de actividades económicas, donde se promueve la instalación de empresas, oficinas y comercios de escala media-alta.</w:t>
      </w:r>
    </w:p>
    <w:p w14:paraId="4FDA8DF2"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AAGSM</w:t>
      </w:r>
      <w:proofErr w:type="gramEnd"/>
      <w:r w:rsidRPr="00EB3437">
        <w:rPr>
          <w:rFonts w:ascii="Times New Roman" w:eastAsia="Times New Roman" w:hAnsi="Times New Roman" w:cs="Times New Roman"/>
          <w:b/>
          <w:bCs/>
          <w:kern w:val="0"/>
          <w:lang w:eastAsia="es-CO"/>
          <w14:ligatures w14:val="none"/>
        </w:rPr>
        <w:t xml:space="preserve"> (</w:t>
      </w:r>
      <w:proofErr w:type="spellStart"/>
      <w:r w:rsidRPr="00EB3437">
        <w:rPr>
          <w:rFonts w:ascii="Courier New" w:eastAsia="Times New Roman" w:hAnsi="Courier New" w:cs="Courier New"/>
          <w:b/>
          <w:bCs/>
          <w:kern w:val="0"/>
          <w:sz w:val="20"/>
          <w:szCs w:val="20"/>
          <w:lang w:eastAsia="es-CO"/>
          <w14:ligatures w14:val="none"/>
        </w:rPr>
        <w:t>uso_aagsm</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Área destinada a Grandes Servicios Metropolitanos (hospitales, universidades, centros de convenciones), con alta vocación de equipamiento y mínimo uso residencial.</w:t>
      </w:r>
    </w:p>
    <w:p w14:paraId="0E845AE1"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AAP</w:t>
      </w:r>
      <w:proofErr w:type="gramEnd"/>
      <w:r w:rsidRPr="00EB3437">
        <w:rPr>
          <w:rFonts w:ascii="Times New Roman" w:eastAsia="Times New Roman" w:hAnsi="Times New Roman" w:cs="Times New Roman"/>
          <w:b/>
          <w:bCs/>
          <w:kern w:val="0"/>
          <w:lang w:eastAsia="es-CO"/>
          <w14:ligatures w14:val="none"/>
        </w:rPr>
        <w:t xml:space="preserve"> generadora (</w:t>
      </w:r>
      <w:proofErr w:type="spellStart"/>
      <w:r w:rsidRPr="00EB3437">
        <w:rPr>
          <w:rFonts w:ascii="Courier New" w:eastAsia="Times New Roman" w:hAnsi="Courier New" w:cs="Courier New"/>
          <w:b/>
          <w:bCs/>
          <w:kern w:val="0"/>
          <w:sz w:val="20"/>
          <w:szCs w:val="20"/>
          <w:lang w:eastAsia="es-CO"/>
          <w14:ligatures w14:val="none"/>
        </w:rPr>
        <w:t>uso_aap_generadora</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Sector que genera soportes urbanos (plazas, parques, escuelas), pensado para distribuir servicios de barrio hacia la periferia.</w:t>
      </w:r>
    </w:p>
    <w:p w14:paraId="069F14AD"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AAP</w:t>
      </w:r>
      <w:proofErr w:type="gramEnd"/>
      <w:r w:rsidRPr="00EB3437">
        <w:rPr>
          <w:rFonts w:ascii="Times New Roman" w:eastAsia="Times New Roman" w:hAnsi="Times New Roman" w:cs="Times New Roman"/>
          <w:b/>
          <w:bCs/>
          <w:kern w:val="0"/>
          <w:lang w:eastAsia="es-CO"/>
          <w14:ligatures w14:val="none"/>
        </w:rPr>
        <w:t xml:space="preserve"> receptora (</w:t>
      </w:r>
      <w:proofErr w:type="spellStart"/>
      <w:r w:rsidRPr="00EB3437">
        <w:rPr>
          <w:rFonts w:ascii="Courier New" w:eastAsia="Times New Roman" w:hAnsi="Courier New" w:cs="Courier New"/>
          <w:b/>
          <w:bCs/>
          <w:kern w:val="0"/>
          <w:sz w:val="20"/>
          <w:szCs w:val="20"/>
          <w:lang w:eastAsia="es-CO"/>
          <w14:ligatures w14:val="none"/>
        </w:rPr>
        <w:t>uso_aap_receptora</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Tejido residencial que recibe dotaciones y servicios de proximidad (pequeños comercios, salud primaria) para atender a la población local.</w:t>
      </w:r>
    </w:p>
    <w:p w14:paraId="1FE8E766" w14:textId="77777777" w:rsidR="00EB3437" w:rsidRPr="00EB3437" w:rsidRDefault="00EB3437" w:rsidP="00EB3437">
      <w:pPr>
        <w:pStyle w:val="Prrafodelista"/>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gramStart"/>
      <w:r w:rsidRPr="00EB3437">
        <w:rPr>
          <w:rFonts w:ascii="Times New Roman" w:eastAsia="Times New Roman" w:hAnsi="Symbol" w:cs="Times New Roman"/>
          <w:kern w:val="0"/>
          <w:lang w:eastAsia="es-CO"/>
          <w14:ligatures w14:val="none"/>
        </w:rPr>
        <w:t></w:t>
      </w:r>
      <w:r w:rsidRPr="00EB3437">
        <w:rPr>
          <w:rFonts w:ascii="Times New Roman" w:eastAsia="Times New Roman" w:hAnsi="Times New Roman" w:cs="Times New Roman"/>
          <w:kern w:val="0"/>
          <w:lang w:eastAsia="es-CO"/>
          <w14:ligatures w14:val="none"/>
        </w:rPr>
        <w:t xml:space="preserve">  </w:t>
      </w:r>
      <w:r w:rsidRPr="00EB3437">
        <w:rPr>
          <w:rFonts w:ascii="Times New Roman" w:eastAsia="Times New Roman" w:hAnsi="Times New Roman" w:cs="Times New Roman"/>
          <w:b/>
          <w:bCs/>
          <w:kern w:val="0"/>
          <w:lang w:eastAsia="es-CO"/>
          <w14:ligatures w14:val="none"/>
        </w:rPr>
        <w:t>Plan</w:t>
      </w:r>
      <w:proofErr w:type="gramEnd"/>
      <w:r w:rsidRPr="00EB3437">
        <w:rPr>
          <w:rFonts w:ascii="Times New Roman" w:eastAsia="Times New Roman" w:hAnsi="Times New Roman" w:cs="Times New Roman"/>
          <w:b/>
          <w:bCs/>
          <w:kern w:val="0"/>
          <w:lang w:eastAsia="es-CO"/>
          <w14:ligatures w14:val="none"/>
        </w:rPr>
        <w:t xml:space="preserve"> Especial (PEMP) (</w:t>
      </w:r>
      <w:proofErr w:type="spellStart"/>
      <w:r w:rsidRPr="00EB3437">
        <w:rPr>
          <w:rFonts w:ascii="Courier New" w:eastAsia="Times New Roman" w:hAnsi="Courier New" w:cs="Courier New"/>
          <w:b/>
          <w:bCs/>
          <w:kern w:val="0"/>
          <w:sz w:val="20"/>
          <w:szCs w:val="20"/>
          <w:lang w:eastAsia="es-CO"/>
          <w14:ligatures w14:val="none"/>
        </w:rPr>
        <w:t>uso_pemp</w:t>
      </w:r>
      <w:proofErr w:type="spellEnd"/>
      <w:r w:rsidRPr="00EB3437">
        <w:rPr>
          <w:rFonts w:ascii="Times New Roman" w:eastAsia="Times New Roman" w:hAnsi="Times New Roman" w:cs="Times New Roman"/>
          <w:b/>
          <w:bCs/>
          <w:kern w:val="0"/>
          <w:lang w:eastAsia="es-CO"/>
          <w14:ligatures w14:val="none"/>
        </w:rPr>
        <w:t>)</w:t>
      </w:r>
      <w:r w:rsidRPr="00EB3437">
        <w:rPr>
          <w:rFonts w:ascii="Times New Roman" w:eastAsia="Times New Roman" w:hAnsi="Times New Roman" w:cs="Times New Roman"/>
          <w:kern w:val="0"/>
          <w:lang w:eastAsia="es-CO"/>
          <w14:ligatures w14:val="none"/>
        </w:rPr>
        <w:t>: Polígono protegido por regulación específica (patrimonio, conservación ecológica), donde las construcciones están sujetas a normas de manejo y no se permiten desarrollos de gran impacto.</w:t>
      </w:r>
    </w:p>
    <w:p w14:paraId="45053231" w14:textId="10C24D27" w:rsidR="004B75CD" w:rsidRDefault="00EB3437" w:rsidP="008E0002">
      <w:r>
        <w:br/>
      </w:r>
      <w:r>
        <w:br/>
        <w:t xml:space="preserve">hallazgos data set 7 </w:t>
      </w:r>
      <w:proofErr w:type="spellStart"/>
      <w:r>
        <w:t>ipvu</w:t>
      </w:r>
      <w:proofErr w:type="spellEnd"/>
      <w:r>
        <w:t xml:space="preserve"> </w:t>
      </w:r>
    </w:p>
    <w:p w14:paraId="0B83089D" w14:textId="636F0942" w:rsidR="00EB3437" w:rsidRDefault="00EB3437" w:rsidP="008E0002">
      <w:r>
        <w:t xml:space="preserve">es una serie de tiempo que muestra los datos del índice de precios de vivienda a través del tiempo cuenta con una ficha técnica del banco de la republica </w:t>
      </w:r>
    </w:p>
    <w:p w14:paraId="15781BCA" w14:textId="77777777" w:rsidR="00EB3437" w:rsidRDefault="00EB3437" w:rsidP="008E0002"/>
    <w:p w14:paraId="099EF486" w14:textId="6B169B4D" w:rsidR="00EB3437" w:rsidRDefault="00EB3437" w:rsidP="008E0002">
      <w:r>
        <w:t xml:space="preserve">muestra un índice real y un índice real dependiendo de la fecha </w:t>
      </w:r>
    </w:p>
    <w:p w14:paraId="7FF94F6B" w14:textId="77777777" w:rsidR="00EB3437" w:rsidRDefault="00EB3437" w:rsidP="008E0002"/>
    <w:p w14:paraId="55AA080D" w14:textId="77777777" w:rsidR="00EB3437" w:rsidRPr="00EB3437" w:rsidRDefault="00EB3437" w:rsidP="00EB3437">
      <w:r w:rsidRPr="00EB3437">
        <w:rPr>
          <w:b/>
          <w:bCs/>
        </w:rPr>
        <w:t>Nota metodológica para el TFM: Uso del Índice de Precios de Vivienda Usada (IPVU)</w:t>
      </w:r>
    </w:p>
    <w:p w14:paraId="7703CCB0" w14:textId="77777777" w:rsidR="00EB3437" w:rsidRPr="00EB3437" w:rsidRDefault="00EB3437" w:rsidP="00EB3437">
      <w:r w:rsidRPr="00EB3437">
        <w:t xml:space="preserve">Para incorporar la dinámica de precios del mercado de vivienda usada se utilizó el </w:t>
      </w:r>
      <w:r w:rsidRPr="00EB3437">
        <w:rPr>
          <w:b/>
          <w:bCs/>
        </w:rPr>
        <w:t>IPVU</w:t>
      </w:r>
      <w:r w:rsidRPr="00EB3437">
        <w:t xml:space="preserve"> publicado por el Banco de la República, que mide la evolución trimestral de los precios nominales y reales de la vivienda usada en Colombia desde 1988 hasta la actualidad. El índice se construye siguiendo la metodología de </w:t>
      </w:r>
      <w:r w:rsidRPr="00EB3437">
        <w:rPr>
          <w:b/>
          <w:bCs/>
        </w:rPr>
        <w:t>ventas repetidas</w:t>
      </w:r>
      <w:r w:rsidRPr="00EB3437">
        <w:t xml:space="preserve"> propuesta por Case &amp; </w:t>
      </w:r>
      <w:proofErr w:type="spellStart"/>
      <w:r w:rsidRPr="00EB3437">
        <w:t>Shiller</w:t>
      </w:r>
      <w:proofErr w:type="spellEnd"/>
      <w:r w:rsidRPr="00EB3437">
        <w:t xml:space="preserve"> (1989), ajustada por Calhoun (1996), y se basa en la variación de precios de </w:t>
      </w:r>
      <w:r w:rsidRPr="00EB3437">
        <w:lastRenderedPageBreak/>
        <w:t xml:space="preserve">inmuebles vendidos al menos dos veces durante el periodo de estudio, usando como proxy el avalúo comercial en créditos </w:t>
      </w:r>
      <w:proofErr w:type="gramStart"/>
      <w:r w:rsidRPr="00EB3437">
        <w:t>hipotecarios .</w:t>
      </w:r>
      <w:proofErr w:type="gramEnd"/>
    </w:p>
    <w:p w14:paraId="67D06057" w14:textId="77777777" w:rsidR="00EB3437" w:rsidRPr="00EB3437" w:rsidRDefault="00EB3437" w:rsidP="00EB3437">
      <w:r w:rsidRPr="00EB3437">
        <w:t xml:space="preserve">En la práctica, el IPVU se incorpora al </w:t>
      </w:r>
      <w:proofErr w:type="spellStart"/>
      <w:r w:rsidRPr="00EB3437">
        <w:t>dataset</w:t>
      </w:r>
      <w:proofErr w:type="spellEnd"/>
      <w:r w:rsidRPr="00EB3437">
        <w:t xml:space="preserve"> maestro como dos series temporales:</w:t>
      </w:r>
    </w:p>
    <w:p w14:paraId="400CD2BB" w14:textId="77777777" w:rsidR="00EB3437" w:rsidRPr="00EB3437" w:rsidRDefault="00EB3437" w:rsidP="00EB3437">
      <w:pPr>
        <w:numPr>
          <w:ilvl w:val="0"/>
          <w:numId w:val="13"/>
        </w:numPr>
      </w:pPr>
      <w:r w:rsidRPr="00EB3437">
        <w:rPr>
          <w:b/>
          <w:bCs/>
        </w:rPr>
        <w:t>IPVU nominal</w:t>
      </w:r>
      <w:r w:rsidRPr="00EB3437">
        <w:t xml:space="preserve"> (1990 = 100)</w:t>
      </w:r>
    </w:p>
    <w:p w14:paraId="46FD23B4" w14:textId="77777777" w:rsidR="00EB3437" w:rsidRPr="00EB3437" w:rsidRDefault="00EB3437" w:rsidP="00EB3437">
      <w:pPr>
        <w:numPr>
          <w:ilvl w:val="0"/>
          <w:numId w:val="13"/>
        </w:numPr>
      </w:pPr>
      <w:r w:rsidRPr="00EB3437">
        <w:rPr>
          <w:b/>
          <w:bCs/>
        </w:rPr>
        <w:t>IPVU real</w:t>
      </w:r>
      <w:r w:rsidRPr="00EB3437">
        <w:t xml:space="preserve"> (deflactado por IPC)</w:t>
      </w:r>
    </w:p>
    <w:p w14:paraId="784F8D13" w14:textId="77777777" w:rsidR="00EB3437" w:rsidRPr="00EB3437" w:rsidRDefault="00EB3437" w:rsidP="00EB3437">
      <w:r w:rsidRPr="00EB3437">
        <w:t xml:space="preserve">Para cada trimestre de cálculo del modelo AVM, se asigna el valor correspondiente de estas series al conjunto de manzanas, según la fecha de corte del análisis (p.ej. si el modelo usa datos hasta junio 2024, se asigna el IPVU de 2024-T2). De este modo, la variable </w:t>
      </w:r>
      <w:proofErr w:type="spellStart"/>
      <w:r w:rsidRPr="00EB3437">
        <w:t>ipvu_real_trimestral</w:t>
      </w:r>
      <w:proofErr w:type="spellEnd"/>
      <w:r w:rsidRPr="00EB3437">
        <w:t xml:space="preserve"> captura </w:t>
      </w:r>
      <w:r w:rsidRPr="00EB3437">
        <w:rPr>
          <w:b/>
          <w:bCs/>
        </w:rPr>
        <w:t>choques de mercado</w:t>
      </w:r>
      <w:r w:rsidRPr="00EB3437">
        <w:t xml:space="preserve"> y posibles burbujas especulativas que afectan el valor de equilibrio de los activos prediales.</w:t>
      </w:r>
    </w:p>
    <w:p w14:paraId="1EE40632" w14:textId="77777777" w:rsidR="00EB3437" w:rsidRPr="00EB3437" w:rsidRDefault="00EB3437" w:rsidP="00EB3437">
      <w:r w:rsidRPr="00EB3437">
        <w:t xml:space="preserve">Este procedimiento aporta un contexto macroeconómico al modelo hedonista y permite evaluar la </w:t>
      </w:r>
      <w:r w:rsidRPr="00EB3437">
        <w:rPr>
          <w:b/>
          <w:bCs/>
        </w:rPr>
        <w:t>influencia general del ciclo inmobiliario</w:t>
      </w:r>
      <w:r w:rsidRPr="00EB3437">
        <w:t xml:space="preserve"> sobre el precio del metro cuadrado de vivienda usada en Bogotá.</w:t>
      </w:r>
    </w:p>
    <w:p w14:paraId="2CCE5C0B" w14:textId="77777777" w:rsidR="00EB3437" w:rsidRPr="00EB3437" w:rsidRDefault="00EB3437" w:rsidP="00EB3437">
      <w:r w:rsidRPr="00EB3437">
        <w:pict w14:anchorId="793A8916">
          <v:rect id="_x0000_i1076" style="width:0;height:1.5pt" o:hralign="center" o:hrstd="t" o:hr="t" fillcolor="#a0a0a0" stroked="f"/>
        </w:pict>
      </w:r>
    </w:p>
    <w:p w14:paraId="03ADEE76" w14:textId="77777777" w:rsidR="00EB3437" w:rsidRPr="00EB3437" w:rsidRDefault="00EB3437" w:rsidP="00EB3437">
      <w:pPr>
        <w:rPr>
          <w:b/>
          <w:bCs/>
        </w:rPr>
      </w:pPr>
      <w:r w:rsidRPr="00EB3437">
        <w:rPr>
          <w:b/>
          <w:bCs/>
        </w:rPr>
        <w:t>Referencia para Zotero (APA 7)</w:t>
      </w:r>
    </w:p>
    <w:p w14:paraId="42A1DDE3" w14:textId="77777777" w:rsidR="00EB3437" w:rsidRPr="00EB3437" w:rsidRDefault="00EB3437" w:rsidP="00EB3437">
      <w:r w:rsidRPr="00EB3437">
        <w:t xml:space="preserve">Banco de la República. (2019). </w:t>
      </w:r>
      <w:r w:rsidRPr="00EB3437">
        <w:rPr>
          <w:i/>
          <w:iCs/>
        </w:rPr>
        <w:t>Índice de Precios de la Vivienda Usada (IPVU): Metodología y resultados</w:t>
      </w:r>
      <w:r w:rsidRPr="00EB3437">
        <w:t xml:space="preserve"> [Ficha técnica].</w:t>
      </w:r>
      <w:r w:rsidRPr="00EB3437">
        <w:br/>
        <w:t xml:space="preserve">Banco de la República. (s.f.). </w:t>
      </w:r>
      <w:r w:rsidRPr="00EB3437">
        <w:rPr>
          <w:i/>
          <w:iCs/>
        </w:rPr>
        <w:t>IPVU series estadísticas</w:t>
      </w:r>
      <w:r w:rsidRPr="00EB3437">
        <w:t xml:space="preserve">. Recuperado de </w:t>
      </w:r>
      <w:hyperlink r:id="rId9" w:tgtFrame="_new" w:history="1">
        <w:r w:rsidRPr="00EB3437">
          <w:rPr>
            <w:rStyle w:val="Hipervnculo"/>
          </w:rPr>
          <w:t>http://www.banrep.gov.co/es/series-estadisticas/see_precios_ipvu.htm</w:t>
        </w:r>
      </w:hyperlink>
    </w:p>
    <w:p w14:paraId="3E9A0C0B" w14:textId="77777777" w:rsidR="00783C36" w:rsidRPr="00783C36" w:rsidRDefault="00783C36" w:rsidP="00783C36">
      <w:r w:rsidRPr="00783C36">
        <w:rPr>
          <w:b/>
          <w:bCs/>
        </w:rPr>
        <w:t>Nota metodológica para el TFM: Índice de Precios de Vivienda Usada (IPVU)</w:t>
      </w:r>
    </w:p>
    <w:p w14:paraId="36CCE833" w14:textId="77777777" w:rsidR="00783C36" w:rsidRPr="00783C36" w:rsidRDefault="00783C36" w:rsidP="00783C36">
      <w:r w:rsidRPr="00783C36">
        <w:t xml:space="preserve">El </w:t>
      </w:r>
      <w:r w:rsidRPr="00783C36">
        <w:rPr>
          <w:b/>
          <w:bCs/>
        </w:rPr>
        <w:t>Índice de Precios de Vivienda Usada (IPVU)</w:t>
      </w:r>
      <w:r w:rsidRPr="00783C36">
        <w:t xml:space="preserve">, publicado por el Banco de la República, constituye una serie trimestral histórica que refleja la evolución real y nominal de los precios de la vivienda usada en Colombia desde 1988. Se basa en la metodología de ventas repetidas ajustada por inflación, denominada </w:t>
      </w:r>
      <w:proofErr w:type="spellStart"/>
      <w:r w:rsidRPr="00783C36">
        <w:rPr>
          <w:i/>
          <w:iCs/>
        </w:rPr>
        <w:t>Hedonic</w:t>
      </w:r>
      <w:proofErr w:type="spellEnd"/>
      <w:r w:rsidRPr="00783C36">
        <w:rPr>
          <w:i/>
          <w:iCs/>
        </w:rPr>
        <w:t xml:space="preserve"> </w:t>
      </w:r>
      <w:proofErr w:type="spellStart"/>
      <w:r w:rsidRPr="00783C36">
        <w:rPr>
          <w:i/>
          <w:iCs/>
        </w:rPr>
        <w:t>Repeat</w:t>
      </w:r>
      <w:proofErr w:type="spellEnd"/>
      <w:r w:rsidRPr="00783C36">
        <w:rPr>
          <w:i/>
          <w:iCs/>
        </w:rPr>
        <w:t xml:space="preserve"> Sales</w:t>
      </w:r>
      <w:r w:rsidRPr="00783C36">
        <w:t xml:space="preserve">, la cual compara transacciones de un mismo bien en diferentes momentos para aislar el componente de precio </w:t>
      </w:r>
      <w:proofErr w:type="gramStart"/>
      <w:r w:rsidRPr="00783C36">
        <w:t>puro .</w:t>
      </w:r>
      <w:proofErr w:type="gramEnd"/>
      <w:r w:rsidRPr="00783C36">
        <w:t xml:space="preserve"> En este trabajo, se incorporó el IPVU real correspondiente al </w:t>
      </w:r>
      <w:r w:rsidRPr="00783C36">
        <w:rPr>
          <w:b/>
          <w:bCs/>
        </w:rPr>
        <w:t>cuarto trimestre de 2024</w:t>
      </w:r>
      <w:r w:rsidRPr="00783C36">
        <w:t>, normalizado a base 100, como variable macroeconómica de ajuste. Esta variable (ipvu_real_2024Q4) multiplica el valor base del metro cuadrado (valor_m2_media) para actualizarlo al nivel de precios de mercado. Además, la serie completa de IPVU permite proyectar precios futuros (2025–2030) mediante modelos de series temporales, aportando así capacidad de estimación a mediano y largo plazo en el AVM.</w:t>
      </w:r>
    </w:p>
    <w:p w14:paraId="6DF4BD13" w14:textId="77777777" w:rsidR="00783C36" w:rsidRPr="00783C36" w:rsidRDefault="00783C36" w:rsidP="00783C36">
      <w:r w:rsidRPr="00783C36">
        <w:pict w14:anchorId="090FCF8D">
          <v:rect id="_x0000_i1084" style="width:0;height:1.5pt" o:hralign="center" o:hrstd="t" o:hr="t" fillcolor="#a0a0a0" stroked="f"/>
        </w:pict>
      </w:r>
    </w:p>
    <w:p w14:paraId="610665DB" w14:textId="77777777" w:rsidR="00783C36" w:rsidRPr="00783C36" w:rsidRDefault="00783C36" w:rsidP="00783C36">
      <w:r w:rsidRPr="00783C36">
        <w:rPr>
          <w:b/>
          <w:bCs/>
        </w:rPr>
        <w:lastRenderedPageBreak/>
        <w:t>Referencia APA 7 para Zotero</w:t>
      </w:r>
      <w:r w:rsidRPr="00783C36">
        <w:br/>
        <w:t xml:space="preserve">Banco de la República. (s.f.). </w:t>
      </w:r>
      <w:r w:rsidRPr="00783C36">
        <w:rPr>
          <w:i/>
          <w:iCs/>
        </w:rPr>
        <w:t>Índice de precios de la vivienda usada (IPVU)</w:t>
      </w:r>
      <w:r w:rsidRPr="00783C36">
        <w:t>. Recuperado de https://www.banrep.gov.co/es/estadisticas/precios-costo/ipvu</w:t>
      </w:r>
    </w:p>
    <w:p w14:paraId="3E3D9FA6" w14:textId="77777777" w:rsidR="00EB3437" w:rsidRDefault="00EB3437" w:rsidP="008E0002"/>
    <w:p w14:paraId="0F2EAEF9" w14:textId="77777777" w:rsidR="008B1027" w:rsidRDefault="008B1027" w:rsidP="008E0002"/>
    <w:p w14:paraId="6EB6D209" w14:textId="77777777" w:rsidR="008B1027" w:rsidRDefault="008B1027" w:rsidP="008E0002"/>
    <w:p w14:paraId="1AE82805" w14:textId="77777777" w:rsidR="008B1027" w:rsidRDefault="008B1027" w:rsidP="008E0002"/>
    <w:p w14:paraId="4F34D761" w14:textId="77777777" w:rsidR="008B1027" w:rsidRDefault="008B1027" w:rsidP="008E0002"/>
    <w:p w14:paraId="425F7D9D" w14:textId="77777777" w:rsidR="008A012D" w:rsidRDefault="008A012D" w:rsidP="008E0002"/>
    <w:p w14:paraId="3C7D1B38" w14:textId="77777777" w:rsidR="008A012D" w:rsidRPr="00811B66" w:rsidRDefault="008A012D" w:rsidP="008E0002"/>
    <w:p w14:paraId="5AA2B5B5" w14:textId="77777777" w:rsidR="00811B66" w:rsidRDefault="00811B66"/>
    <w:sectPr w:rsidR="00811B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7FC3"/>
    <w:multiLevelType w:val="multilevel"/>
    <w:tmpl w:val="832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6678"/>
    <w:multiLevelType w:val="multilevel"/>
    <w:tmpl w:val="B944D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5045C"/>
    <w:multiLevelType w:val="multilevel"/>
    <w:tmpl w:val="CB6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3475"/>
    <w:multiLevelType w:val="multilevel"/>
    <w:tmpl w:val="481CB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F096D"/>
    <w:multiLevelType w:val="multilevel"/>
    <w:tmpl w:val="B9F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80139"/>
    <w:multiLevelType w:val="multilevel"/>
    <w:tmpl w:val="475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F22A0"/>
    <w:multiLevelType w:val="multilevel"/>
    <w:tmpl w:val="263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573BF"/>
    <w:multiLevelType w:val="multilevel"/>
    <w:tmpl w:val="913E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37448"/>
    <w:multiLevelType w:val="multilevel"/>
    <w:tmpl w:val="882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A63DD"/>
    <w:multiLevelType w:val="multilevel"/>
    <w:tmpl w:val="E0AC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508B4"/>
    <w:multiLevelType w:val="multilevel"/>
    <w:tmpl w:val="050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03464"/>
    <w:multiLevelType w:val="multilevel"/>
    <w:tmpl w:val="1D20D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D770F"/>
    <w:multiLevelType w:val="multilevel"/>
    <w:tmpl w:val="828E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94717">
    <w:abstractNumId w:val="11"/>
  </w:num>
  <w:num w:numId="2" w16cid:durableId="361632227">
    <w:abstractNumId w:val="0"/>
  </w:num>
  <w:num w:numId="3" w16cid:durableId="98111765">
    <w:abstractNumId w:val="5"/>
  </w:num>
  <w:num w:numId="4" w16cid:durableId="301348752">
    <w:abstractNumId w:val="7"/>
  </w:num>
  <w:num w:numId="5" w16cid:durableId="1262496626">
    <w:abstractNumId w:val="10"/>
  </w:num>
  <w:num w:numId="6" w16cid:durableId="2026706711">
    <w:abstractNumId w:val="4"/>
  </w:num>
  <w:num w:numId="7" w16cid:durableId="280303557">
    <w:abstractNumId w:val="6"/>
  </w:num>
  <w:num w:numId="8" w16cid:durableId="1306082880">
    <w:abstractNumId w:val="1"/>
  </w:num>
  <w:num w:numId="9" w16cid:durableId="290330611">
    <w:abstractNumId w:val="8"/>
  </w:num>
  <w:num w:numId="10" w16cid:durableId="1687706390">
    <w:abstractNumId w:val="12"/>
  </w:num>
  <w:num w:numId="11" w16cid:durableId="812868643">
    <w:abstractNumId w:val="3"/>
  </w:num>
  <w:num w:numId="12" w16cid:durableId="90398514">
    <w:abstractNumId w:val="2"/>
  </w:num>
  <w:num w:numId="13" w16cid:durableId="1220871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66"/>
    <w:rsid w:val="001B3273"/>
    <w:rsid w:val="003E3CCE"/>
    <w:rsid w:val="004B75CD"/>
    <w:rsid w:val="00500326"/>
    <w:rsid w:val="005436EC"/>
    <w:rsid w:val="00602246"/>
    <w:rsid w:val="006C63A2"/>
    <w:rsid w:val="007231DD"/>
    <w:rsid w:val="0078360D"/>
    <w:rsid w:val="00783C36"/>
    <w:rsid w:val="00811B66"/>
    <w:rsid w:val="008A012D"/>
    <w:rsid w:val="008B1027"/>
    <w:rsid w:val="008E0002"/>
    <w:rsid w:val="009746B1"/>
    <w:rsid w:val="009A4DF4"/>
    <w:rsid w:val="00B17CFF"/>
    <w:rsid w:val="00B41E1E"/>
    <w:rsid w:val="00B607B7"/>
    <w:rsid w:val="00B62848"/>
    <w:rsid w:val="00CF6E67"/>
    <w:rsid w:val="00EB3437"/>
    <w:rsid w:val="00F411CE"/>
    <w:rsid w:val="00F90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FE38"/>
  <w15:chartTrackingRefBased/>
  <w15:docId w15:val="{67E0A17E-0994-4474-96EE-56E996F9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11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1B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B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B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B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B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B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B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B6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11B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1B6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B6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B6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B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B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B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B66"/>
    <w:rPr>
      <w:rFonts w:eastAsiaTheme="majorEastAsia" w:cstheme="majorBidi"/>
      <w:color w:val="272727" w:themeColor="text1" w:themeTint="D8"/>
    </w:rPr>
  </w:style>
  <w:style w:type="paragraph" w:styleId="Ttulo">
    <w:name w:val="Title"/>
    <w:basedOn w:val="Normal"/>
    <w:next w:val="Normal"/>
    <w:link w:val="TtuloCar"/>
    <w:uiPriority w:val="10"/>
    <w:qFormat/>
    <w:rsid w:val="00811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B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B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B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B66"/>
    <w:pPr>
      <w:spacing w:before="160"/>
      <w:jc w:val="center"/>
    </w:pPr>
    <w:rPr>
      <w:i/>
      <w:iCs/>
      <w:color w:val="404040" w:themeColor="text1" w:themeTint="BF"/>
    </w:rPr>
  </w:style>
  <w:style w:type="character" w:customStyle="1" w:styleId="CitaCar">
    <w:name w:val="Cita Car"/>
    <w:basedOn w:val="Fuentedeprrafopredeter"/>
    <w:link w:val="Cita"/>
    <w:uiPriority w:val="29"/>
    <w:rsid w:val="00811B66"/>
    <w:rPr>
      <w:i/>
      <w:iCs/>
      <w:color w:val="404040" w:themeColor="text1" w:themeTint="BF"/>
    </w:rPr>
  </w:style>
  <w:style w:type="paragraph" w:styleId="Prrafodelista">
    <w:name w:val="List Paragraph"/>
    <w:basedOn w:val="Normal"/>
    <w:uiPriority w:val="34"/>
    <w:qFormat/>
    <w:rsid w:val="00811B66"/>
    <w:pPr>
      <w:ind w:left="720"/>
      <w:contextualSpacing/>
    </w:pPr>
  </w:style>
  <w:style w:type="character" w:styleId="nfasisintenso">
    <w:name w:val="Intense Emphasis"/>
    <w:basedOn w:val="Fuentedeprrafopredeter"/>
    <w:uiPriority w:val="21"/>
    <w:qFormat/>
    <w:rsid w:val="00811B66"/>
    <w:rPr>
      <w:i/>
      <w:iCs/>
      <w:color w:val="2F5496" w:themeColor="accent1" w:themeShade="BF"/>
    </w:rPr>
  </w:style>
  <w:style w:type="paragraph" w:styleId="Citadestacada">
    <w:name w:val="Intense Quote"/>
    <w:basedOn w:val="Normal"/>
    <w:next w:val="Normal"/>
    <w:link w:val="CitadestacadaCar"/>
    <w:uiPriority w:val="30"/>
    <w:qFormat/>
    <w:rsid w:val="00811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B66"/>
    <w:rPr>
      <w:i/>
      <w:iCs/>
      <w:color w:val="2F5496" w:themeColor="accent1" w:themeShade="BF"/>
    </w:rPr>
  </w:style>
  <w:style w:type="character" w:styleId="Referenciaintensa">
    <w:name w:val="Intense Reference"/>
    <w:basedOn w:val="Fuentedeprrafopredeter"/>
    <w:uiPriority w:val="32"/>
    <w:qFormat/>
    <w:rsid w:val="00811B66"/>
    <w:rPr>
      <w:b/>
      <w:bCs/>
      <w:smallCaps/>
      <w:color w:val="2F5496" w:themeColor="accent1" w:themeShade="BF"/>
      <w:spacing w:val="5"/>
    </w:rPr>
  </w:style>
  <w:style w:type="paragraph" w:styleId="NormalWeb">
    <w:name w:val="Normal (Web)"/>
    <w:basedOn w:val="Normal"/>
    <w:uiPriority w:val="99"/>
    <w:semiHidden/>
    <w:unhideWhenUsed/>
    <w:rsid w:val="009A4DF4"/>
    <w:rPr>
      <w:rFonts w:ascii="Times New Roman" w:hAnsi="Times New Roman" w:cs="Times New Roman"/>
    </w:rPr>
  </w:style>
  <w:style w:type="character" w:styleId="Hipervnculo">
    <w:name w:val="Hyperlink"/>
    <w:basedOn w:val="Fuentedeprrafopredeter"/>
    <w:uiPriority w:val="99"/>
    <w:unhideWhenUsed/>
    <w:rsid w:val="00B41E1E"/>
    <w:rPr>
      <w:color w:val="0563C1" w:themeColor="hyperlink"/>
      <w:u w:val="single"/>
    </w:rPr>
  </w:style>
  <w:style w:type="character" w:styleId="Mencinsinresolver">
    <w:name w:val="Unresolved Mention"/>
    <w:basedOn w:val="Fuentedeprrafopredeter"/>
    <w:uiPriority w:val="99"/>
    <w:semiHidden/>
    <w:unhideWhenUsed/>
    <w:rsid w:val="00B41E1E"/>
    <w:rPr>
      <w:color w:val="605E5C"/>
      <w:shd w:val="clear" w:color="auto" w:fill="E1DFDD"/>
    </w:rPr>
  </w:style>
  <w:style w:type="character" w:styleId="Textoennegrita">
    <w:name w:val="Strong"/>
    <w:basedOn w:val="Fuentedeprrafopredeter"/>
    <w:uiPriority w:val="22"/>
    <w:qFormat/>
    <w:rsid w:val="00EB3437"/>
    <w:rPr>
      <w:b/>
      <w:bCs/>
    </w:rPr>
  </w:style>
  <w:style w:type="character" w:styleId="CdigoHTML">
    <w:name w:val="HTML Code"/>
    <w:basedOn w:val="Fuentedeprrafopredeter"/>
    <w:uiPriority w:val="99"/>
    <w:semiHidden/>
    <w:unhideWhenUsed/>
    <w:rsid w:val="00EB3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1346">
      <w:bodyDiv w:val="1"/>
      <w:marLeft w:val="0"/>
      <w:marRight w:val="0"/>
      <w:marTop w:val="0"/>
      <w:marBottom w:val="0"/>
      <w:divBdr>
        <w:top w:val="none" w:sz="0" w:space="0" w:color="auto"/>
        <w:left w:val="none" w:sz="0" w:space="0" w:color="auto"/>
        <w:bottom w:val="none" w:sz="0" w:space="0" w:color="auto"/>
        <w:right w:val="none" w:sz="0" w:space="0" w:color="auto"/>
      </w:divBdr>
      <w:divsChild>
        <w:div w:id="149090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30628">
      <w:bodyDiv w:val="1"/>
      <w:marLeft w:val="0"/>
      <w:marRight w:val="0"/>
      <w:marTop w:val="0"/>
      <w:marBottom w:val="0"/>
      <w:divBdr>
        <w:top w:val="none" w:sz="0" w:space="0" w:color="auto"/>
        <w:left w:val="none" w:sz="0" w:space="0" w:color="auto"/>
        <w:bottom w:val="none" w:sz="0" w:space="0" w:color="auto"/>
        <w:right w:val="none" w:sz="0" w:space="0" w:color="auto"/>
      </w:divBdr>
      <w:divsChild>
        <w:div w:id="26014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54716">
      <w:bodyDiv w:val="1"/>
      <w:marLeft w:val="0"/>
      <w:marRight w:val="0"/>
      <w:marTop w:val="0"/>
      <w:marBottom w:val="0"/>
      <w:divBdr>
        <w:top w:val="none" w:sz="0" w:space="0" w:color="auto"/>
        <w:left w:val="none" w:sz="0" w:space="0" w:color="auto"/>
        <w:bottom w:val="none" w:sz="0" w:space="0" w:color="auto"/>
        <w:right w:val="none" w:sz="0" w:space="0" w:color="auto"/>
      </w:divBdr>
      <w:divsChild>
        <w:div w:id="150493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72566">
      <w:bodyDiv w:val="1"/>
      <w:marLeft w:val="0"/>
      <w:marRight w:val="0"/>
      <w:marTop w:val="0"/>
      <w:marBottom w:val="0"/>
      <w:divBdr>
        <w:top w:val="none" w:sz="0" w:space="0" w:color="auto"/>
        <w:left w:val="none" w:sz="0" w:space="0" w:color="auto"/>
        <w:bottom w:val="none" w:sz="0" w:space="0" w:color="auto"/>
        <w:right w:val="none" w:sz="0" w:space="0" w:color="auto"/>
      </w:divBdr>
    </w:div>
    <w:div w:id="186408436">
      <w:bodyDiv w:val="1"/>
      <w:marLeft w:val="0"/>
      <w:marRight w:val="0"/>
      <w:marTop w:val="0"/>
      <w:marBottom w:val="0"/>
      <w:divBdr>
        <w:top w:val="none" w:sz="0" w:space="0" w:color="auto"/>
        <w:left w:val="none" w:sz="0" w:space="0" w:color="auto"/>
        <w:bottom w:val="none" w:sz="0" w:space="0" w:color="auto"/>
        <w:right w:val="none" w:sz="0" w:space="0" w:color="auto"/>
      </w:divBdr>
      <w:divsChild>
        <w:div w:id="146951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813521">
      <w:bodyDiv w:val="1"/>
      <w:marLeft w:val="0"/>
      <w:marRight w:val="0"/>
      <w:marTop w:val="0"/>
      <w:marBottom w:val="0"/>
      <w:divBdr>
        <w:top w:val="none" w:sz="0" w:space="0" w:color="auto"/>
        <w:left w:val="none" w:sz="0" w:space="0" w:color="auto"/>
        <w:bottom w:val="none" w:sz="0" w:space="0" w:color="auto"/>
        <w:right w:val="none" w:sz="0" w:space="0" w:color="auto"/>
      </w:divBdr>
      <w:divsChild>
        <w:div w:id="81881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820170">
      <w:bodyDiv w:val="1"/>
      <w:marLeft w:val="0"/>
      <w:marRight w:val="0"/>
      <w:marTop w:val="0"/>
      <w:marBottom w:val="0"/>
      <w:divBdr>
        <w:top w:val="none" w:sz="0" w:space="0" w:color="auto"/>
        <w:left w:val="none" w:sz="0" w:space="0" w:color="auto"/>
        <w:bottom w:val="none" w:sz="0" w:space="0" w:color="auto"/>
        <w:right w:val="none" w:sz="0" w:space="0" w:color="auto"/>
      </w:divBdr>
    </w:div>
    <w:div w:id="387067928">
      <w:bodyDiv w:val="1"/>
      <w:marLeft w:val="0"/>
      <w:marRight w:val="0"/>
      <w:marTop w:val="0"/>
      <w:marBottom w:val="0"/>
      <w:divBdr>
        <w:top w:val="none" w:sz="0" w:space="0" w:color="auto"/>
        <w:left w:val="none" w:sz="0" w:space="0" w:color="auto"/>
        <w:bottom w:val="none" w:sz="0" w:space="0" w:color="auto"/>
        <w:right w:val="none" w:sz="0" w:space="0" w:color="auto"/>
      </w:divBdr>
      <w:divsChild>
        <w:div w:id="43405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845787">
      <w:bodyDiv w:val="1"/>
      <w:marLeft w:val="0"/>
      <w:marRight w:val="0"/>
      <w:marTop w:val="0"/>
      <w:marBottom w:val="0"/>
      <w:divBdr>
        <w:top w:val="none" w:sz="0" w:space="0" w:color="auto"/>
        <w:left w:val="none" w:sz="0" w:space="0" w:color="auto"/>
        <w:bottom w:val="none" w:sz="0" w:space="0" w:color="auto"/>
        <w:right w:val="none" w:sz="0" w:space="0" w:color="auto"/>
      </w:divBdr>
    </w:div>
    <w:div w:id="585040507">
      <w:bodyDiv w:val="1"/>
      <w:marLeft w:val="0"/>
      <w:marRight w:val="0"/>
      <w:marTop w:val="0"/>
      <w:marBottom w:val="0"/>
      <w:divBdr>
        <w:top w:val="none" w:sz="0" w:space="0" w:color="auto"/>
        <w:left w:val="none" w:sz="0" w:space="0" w:color="auto"/>
        <w:bottom w:val="none" w:sz="0" w:space="0" w:color="auto"/>
        <w:right w:val="none" w:sz="0" w:space="0" w:color="auto"/>
      </w:divBdr>
      <w:divsChild>
        <w:div w:id="109073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966578">
      <w:bodyDiv w:val="1"/>
      <w:marLeft w:val="0"/>
      <w:marRight w:val="0"/>
      <w:marTop w:val="0"/>
      <w:marBottom w:val="0"/>
      <w:divBdr>
        <w:top w:val="none" w:sz="0" w:space="0" w:color="auto"/>
        <w:left w:val="none" w:sz="0" w:space="0" w:color="auto"/>
        <w:bottom w:val="none" w:sz="0" w:space="0" w:color="auto"/>
        <w:right w:val="none" w:sz="0" w:space="0" w:color="auto"/>
      </w:divBdr>
    </w:div>
    <w:div w:id="620187163">
      <w:bodyDiv w:val="1"/>
      <w:marLeft w:val="0"/>
      <w:marRight w:val="0"/>
      <w:marTop w:val="0"/>
      <w:marBottom w:val="0"/>
      <w:divBdr>
        <w:top w:val="none" w:sz="0" w:space="0" w:color="auto"/>
        <w:left w:val="none" w:sz="0" w:space="0" w:color="auto"/>
        <w:bottom w:val="none" w:sz="0" w:space="0" w:color="auto"/>
        <w:right w:val="none" w:sz="0" w:space="0" w:color="auto"/>
      </w:divBdr>
      <w:divsChild>
        <w:div w:id="2073579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25663">
      <w:bodyDiv w:val="1"/>
      <w:marLeft w:val="0"/>
      <w:marRight w:val="0"/>
      <w:marTop w:val="0"/>
      <w:marBottom w:val="0"/>
      <w:divBdr>
        <w:top w:val="none" w:sz="0" w:space="0" w:color="auto"/>
        <w:left w:val="none" w:sz="0" w:space="0" w:color="auto"/>
        <w:bottom w:val="none" w:sz="0" w:space="0" w:color="auto"/>
        <w:right w:val="none" w:sz="0" w:space="0" w:color="auto"/>
      </w:divBdr>
    </w:div>
    <w:div w:id="736899543">
      <w:bodyDiv w:val="1"/>
      <w:marLeft w:val="0"/>
      <w:marRight w:val="0"/>
      <w:marTop w:val="0"/>
      <w:marBottom w:val="0"/>
      <w:divBdr>
        <w:top w:val="none" w:sz="0" w:space="0" w:color="auto"/>
        <w:left w:val="none" w:sz="0" w:space="0" w:color="auto"/>
        <w:bottom w:val="none" w:sz="0" w:space="0" w:color="auto"/>
        <w:right w:val="none" w:sz="0" w:space="0" w:color="auto"/>
      </w:divBdr>
      <w:divsChild>
        <w:div w:id="990059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396110">
      <w:bodyDiv w:val="1"/>
      <w:marLeft w:val="0"/>
      <w:marRight w:val="0"/>
      <w:marTop w:val="0"/>
      <w:marBottom w:val="0"/>
      <w:divBdr>
        <w:top w:val="none" w:sz="0" w:space="0" w:color="auto"/>
        <w:left w:val="none" w:sz="0" w:space="0" w:color="auto"/>
        <w:bottom w:val="none" w:sz="0" w:space="0" w:color="auto"/>
        <w:right w:val="none" w:sz="0" w:space="0" w:color="auto"/>
      </w:divBdr>
    </w:div>
    <w:div w:id="822702702">
      <w:bodyDiv w:val="1"/>
      <w:marLeft w:val="0"/>
      <w:marRight w:val="0"/>
      <w:marTop w:val="0"/>
      <w:marBottom w:val="0"/>
      <w:divBdr>
        <w:top w:val="none" w:sz="0" w:space="0" w:color="auto"/>
        <w:left w:val="none" w:sz="0" w:space="0" w:color="auto"/>
        <w:bottom w:val="none" w:sz="0" w:space="0" w:color="auto"/>
        <w:right w:val="none" w:sz="0" w:space="0" w:color="auto"/>
      </w:divBdr>
    </w:div>
    <w:div w:id="876743849">
      <w:bodyDiv w:val="1"/>
      <w:marLeft w:val="0"/>
      <w:marRight w:val="0"/>
      <w:marTop w:val="0"/>
      <w:marBottom w:val="0"/>
      <w:divBdr>
        <w:top w:val="none" w:sz="0" w:space="0" w:color="auto"/>
        <w:left w:val="none" w:sz="0" w:space="0" w:color="auto"/>
        <w:bottom w:val="none" w:sz="0" w:space="0" w:color="auto"/>
        <w:right w:val="none" w:sz="0" w:space="0" w:color="auto"/>
      </w:divBdr>
      <w:divsChild>
        <w:div w:id="13442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657867">
      <w:bodyDiv w:val="1"/>
      <w:marLeft w:val="0"/>
      <w:marRight w:val="0"/>
      <w:marTop w:val="0"/>
      <w:marBottom w:val="0"/>
      <w:divBdr>
        <w:top w:val="none" w:sz="0" w:space="0" w:color="auto"/>
        <w:left w:val="none" w:sz="0" w:space="0" w:color="auto"/>
        <w:bottom w:val="none" w:sz="0" w:space="0" w:color="auto"/>
        <w:right w:val="none" w:sz="0" w:space="0" w:color="auto"/>
      </w:divBdr>
      <w:divsChild>
        <w:div w:id="950161482">
          <w:marLeft w:val="0"/>
          <w:marRight w:val="0"/>
          <w:marTop w:val="0"/>
          <w:marBottom w:val="0"/>
          <w:divBdr>
            <w:top w:val="none" w:sz="0" w:space="0" w:color="auto"/>
            <w:left w:val="none" w:sz="0" w:space="0" w:color="auto"/>
            <w:bottom w:val="none" w:sz="0" w:space="0" w:color="auto"/>
            <w:right w:val="none" w:sz="0" w:space="0" w:color="auto"/>
          </w:divBdr>
          <w:divsChild>
            <w:div w:id="20614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229">
      <w:bodyDiv w:val="1"/>
      <w:marLeft w:val="0"/>
      <w:marRight w:val="0"/>
      <w:marTop w:val="0"/>
      <w:marBottom w:val="0"/>
      <w:divBdr>
        <w:top w:val="none" w:sz="0" w:space="0" w:color="auto"/>
        <w:left w:val="none" w:sz="0" w:space="0" w:color="auto"/>
        <w:bottom w:val="none" w:sz="0" w:space="0" w:color="auto"/>
        <w:right w:val="none" w:sz="0" w:space="0" w:color="auto"/>
      </w:divBdr>
      <w:divsChild>
        <w:div w:id="31912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511167">
      <w:bodyDiv w:val="1"/>
      <w:marLeft w:val="0"/>
      <w:marRight w:val="0"/>
      <w:marTop w:val="0"/>
      <w:marBottom w:val="0"/>
      <w:divBdr>
        <w:top w:val="none" w:sz="0" w:space="0" w:color="auto"/>
        <w:left w:val="none" w:sz="0" w:space="0" w:color="auto"/>
        <w:bottom w:val="none" w:sz="0" w:space="0" w:color="auto"/>
        <w:right w:val="none" w:sz="0" w:space="0" w:color="auto"/>
      </w:divBdr>
    </w:div>
    <w:div w:id="1297222551">
      <w:bodyDiv w:val="1"/>
      <w:marLeft w:val="0"/>
      <w:marRight w:val="0"/>
      <w:marTop w:val="0"/>
      <w:marBottom w:val="0"/>
      <w:divBdr>
        <w:top w:val="none" w:sz="0" w:space="0" w:color="auto"/>
        <w:left w:val="none" w:sz="0" w:space="0" w:color="auto"/>
        <w:bottom w:val="none" w:sz="0" w:space="0" w:color="auto"/>
        <w:right w:val="none" w:sz="0" w:space="0" w:color="auto"/>
      </w:divBdr>
    </w:div>
    <w:div w:id="1349327274">
      <w:bodyDiv w:val="1"/>
      <w:marLeft w:val="0"/>
      <w:marRight w:val="0"/>
      <w:marTop w:val="0"/>
      <w:marBottom w:val="0"/>
      <w:divBdr>
        <w:top w:val="none" w:sz="0" w:space="0" w:color="auto"/>
        <w:left w:val="none" w:sz="0" w:space="0" w:color="auto"/>
        <w:bottom w:val="none" w:sz="0" w:space="0" w:color="auto"/>
        <w:right w:val="none" w:sz="0" w:space="0" w:color="auto"/>
      </w:divBdr>
      <w:divsChild>
        <w:div w:id="373240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083856">
      <w:bodyDiv w:val="1"/>
      <w:marLeft w:val="0"/>
      <w:marRight w:val="0"/>
      <w:marTop w:val="0"/>
      <w:marBottom w:val="0"/>
      <w:divBdr>
        <w:top w:val="none" w:sz="0" w:space="0" w:color="auto"/>
        <w:left w:val="none" w:sz="0" w:space="0" w:color="auto"/>
        <w:bottom w:val="none" w:sz="0" w:space="0" w:color="auto"/>
        <w:right w:val="none" w:sz="0" w:space="0" w:color="auto"/>
      </w:divBdr>
      <w:divsChild>
        <w:div w:id="111012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709">
      <w:bodyDiv w:val="1"/>
      <w:marLeft w:val="0"/>
      <w:marRight w:val="0"/>
      <w:marTop w:val="0"/>
      <w:marBottom w:val="0"/>
      <w:divBdr>
        <w:top w:val="none" w:sz="0" w:space="0" w:color="auto"/>
        <w:left w:val="none" w:sz="0" w:space="0" w:color="auto"/>
        <w:bottom w:val="none" w:sz="0" w:space="0" w:color="auto"/>
        <w:right w:val="none" w:sz="0" w:space="0" w:color="auto"/>
      </w:divBdr>
    </w:div>
    <w:div w:id="1431243316">
      <w:bodyDiv w:val="1"/>
      <w:marLeft w:val="0"/>
      <w:marRight w:val="0"/>
      <w:marTop w:val="0"/>
      <w:marBottom w:val="0"/>
      <w:divBdr>
        <w:top w:val="none" w:sz="0" w:space="0" w:color="auto"/>
        <w:left w:val="none" w:sz="0" w:space="0" w:color="auto"/>
        <w:bottom w:val="none" w:sz="0" w:space="0" w:color="auto"/>
        <w:right w:val="none" w:sz="0" w:space="0" w:color="auto"/>
      </w:divBdr>
      <w:divsChild>
        <w:div w:id="130562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044947">
      <w:bodyDiv w:val="1"/>
      <w:marLeft w:val="0"/>
      <w:marRight w:val="0"/>
      <w:marTop w:val="0"/>
      <w:marBottom w:val="0"/>
      <w:divBdr>
        <w:top w:val="none" w:sz="0" w:space="0" w:color="auto"/>
        <w:left w:val="none" w:sz="0" w:space="0" w:color="auto"/>
        <w:bottom w:val="none" w:sz="0" w:space="0" w:color="auto"/>
        <w:right w:val="none" w:sz="0" w:space="0" w:color="auto"/>
      </w:divBdr>
      <w:divsChild>
        <w:div w:id="117106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54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95926">
      <w:bodyDiv w:val="1"/>
      <w:marLeft w:val="0"/>
      <w:marRight w:val="0"/>
      <w:marTop w:val="0"/>
      <w:marBottom w:val="0"/>
      <w:divBdr>
        <w:top w:val="none" w:sz="0" w:space="0" w:color="auto"/>
        <w:left w:val="none" w:sz="0" w:space="0" w:color="auto"/>
        <w:bottom w:val="none" w:sz="0" w:space="0" w:color="auto"/>
        <w:right w:val="none" w:sz="0" w:space="0" w:color="auto"/>
      </w:divBdr>
      <w:divsChild>
        <w:div w:id="851798540">
          <w:blockQuote w:val="1"/>
          <w:marLeft w:val="720"/>
          <w:marRight w:val="720"/>
          <w:marTop w:val="100"/>
          <w:marBottom w:val="100"/>
          <w:divBdr>
            <w:top w:val="none" w:sz="0" w:space="0" w:color="auto"/>
            <w:left w:val="none" w:sz="0" w:space="0" w:color="auto"/>
            <w:bottom w:val="none" w:sz="0" w:space="0" w:color="auto"/>
            <w:right w:val="none" w:sz="0" w:space="0" w:color="auto"/>
          </w:divBdr>
        </w:div>
        <w:div w:id="68066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7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033014">
      <w:bodyDiv w:val="1"/>
      <w:marLeft w:val="0"/>
      <w:marRight w:val="0"/>
      <w:marTop w:val="0"/>
      <w:marBottom w:val="0"/>
      <w:divBdr>
        <w:top w:val="none" w:sz="0" w:space="0" w:color="auto"/>
        <w:left w:val="none" w:sz="0" w:space="0" w:color="auto"/>
        <w:bottom w:val="none" w:sz="0" w:space="0" w:color="auto"/>
        <w:right w:val="none" w:sz="0" w:space="0" w:color="auto"/>
      </w:divBdr>
    </w:div>
    <w:div w:id="1690136520">
      <w:bodyDiv w:val="1"/>
      <w:marLeft w:val="0"/>
      <w:marRight w:val="0"/>
      <w:marTop w:val="0"/>
      <w:marBottom w:val="0"/>
      <w:divBdr>
        <w:top w:val="none" w:sz="0" w:space="0" w:color="auto"/>
        <w:left w:val="none" w:sz="0" w:space="0" w:color="auto"/>
        <w:bottom w:val="none" w:sz="0" w:space="0" w:color="auto"/>
        <w:right w:val="none" w:sz="0" w:space="0" w:color="auto"/>
      </w:divBdr>
      <w:divsChild>
        <w:div w:id="29275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611903">
      <w:bodyDiv w:val="1"/>
      <w:marLeft w:val="0"/>
      <w:marRight w:val="0"/>
      <w:marTop w:val="0"/>
      <w:marBottom w:val="0"/>
      <w:divBdr>
        <w:top w:val="none" w:sz="0" w:space="0" w:color="auto"/>
        <w:left w:val="none" w:sz="0" w:space="0" w:color="auto"/>
        <w:bottom w:val="none" w:sz="0" w:space="0" w:color="auto"/>
        <w:right w:val="none" w:sz="0" w:space="0" w:color="auto"/>
      </w:divBdr>
    </w:div>
    <w:div w:id="1730498974">
      <w:bodyDiv w:val="1"/>
      <w:marLeft w:val="0"/>
      <w:marRight w:val="0"/>
      <w:marTop w:val="0"/>
      <w:marBottom w:val="0"/>
      <w:divBdr>
        <w:top w:val="none" w:sz="0" w:space="0" w:color="auto"/>
        <w:left w:val="none" w:sz="0" w:space="0" w:color="auto"/>
        <w:bottom w:val="none" w:sz="0" w:space="0" w:color="auto"/>
        <w:right w:val="none" w:sz="0" w:space="0" w:color="auto"/>
      </w:divBdr>
      <w:divsChild>
        <w:div w:id="75015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391948">
      <w:bodyDiv w:val="1"/>
      <w:marLeft w:val="0"/>
      <w:marRight w:val="0"/>
      <w:marTop w:val="0"/>
      <w:marBottom w:val="0"/>
      <w:divBdr>
        <w:top w:val="none" w:sz="0" w:space="0" w:color="auto"/>
        <w:left w:val="none" w:sz="0" w:space="0" w:color="auto"/>
        <w:bottom w:val="none" w:sz="0" w:space="0" w:color="auto"/>
        <w:right w:val="none" w:sz="0" w:space="0" w:color="auto"/>
      </w:divBdr>
      <w:divsChild>
        <w:div w:id="78338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08997">
      <w:bodyDiv w:val="1"/>
      <w:marLeft w:val="0"/>
      <w:marRight w:val="0"/>
      <w:marTop w:val="0"/>
      <w:marBottom w:val="0"/>
      <w:divBdr>
        <w:top w:val="none" w:sz="0" w:space="0" w:color="auto"/>
        <w:left w:val="none" w:sz="0" w:space="0" w:color="auto"/>
        <w:bottom w:val="none" w:sz="0" w:space="0" w:color="auto"/>
        <w:right w:val="none" w:sz="0" w:space="0" w:color="auto"/>
      </w:divBdr>
    </w:div>
    <w:div w:id="1858889723">
      <w:bodyDiv w:val="1"/>
      <w:marLeft w:val="0"/>
      <w:marRight w:val="0"/>
      <w:marTop w:val="0"/>
      <w:marBottom w:val="0"/>
      <w:divBdr>
        <w:top w:val="none" w:sz="0" w:space="0" w:color="auto"/>
        <w:left w:val="none" w:sz="0" w:space="0" w:color="auto"/>
        <w:bottom w:val="none" w:sz="0" w:space="0" w:color="auto"/>
        <w:right w:val="none" w:sz="0" w:space="0" w:color="auto"/>
      </w:divBdr>
    </w:div>
    <w:div w:id="1908495917">
      <w:bodyDiv w:val="1"/>
      <w:marLeft w:val="0"/>
      <w:marRight w:val="0"/>
      <w:marTop w:val="0"/>
      <w:marBottom w:val="0"/>
      <w:divBdr>
        <w:top w:val="none" w:sz="0" w:space="0" w:color="auto"/>
        <w:left w:val="none" w:sz="0" w:space="0" w:color="auto"/>
        <w:bottom w:val="none" w:sz="0" w:space="0" w:color="auto"/>
        <w:right w:val="none" w:sz="0" w:space="0" w:color="auto"/>
      </w:divBdr>
      <w:divsChild>
        <w:div w:id="173758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28100">
      <w:bodyDiv w:val="1"/>
      <w:marLeft w:val="0"/>
      <w:marRight w:val="0"/>
      <w:marTop w:val="0"/>
      <w:marBottom w:val="0"/>
      <w:divBdr>
        <w:top w:val="none" w:sz="0" w:space="0" w:color="auto"/>
        <w:left w:val="none" w:sz="0" w:space="0" w:color="auto"/>
        <w:bottom w:val="none" w:sz="0" w:space="0" w:color="auto"/>
        <w:right w:val="none" w:sz="0" w:space="0" w:color="auto"/>
      </w:divBdr>
      <w:divsChild>
        <w:div w:id="1200973003">
          <w:marLeft w:val="0"/>
          <w:marRight w:val="0"/>
          <w:marTop w:val="0"/>
          <w:marBottom w:val="0"/>
          <w:divBdr>
            <w:top w:val="none" w:sz="0" w:space="0" w:color="auto"/>
            <w:left w:val="none" w:sz="0" w:space="0" w:color="auto"/>
            <w:bottom w:val="none" w:sz="0" w:space="0" w:color="auto"/>
            <w:right w:val="none" w:sz="0" w:space="0" w:color="auto"/>
          </w:divBdr>
          <w:divsChild>
            <w:div w:id="1162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p.gov.co/sites/default/files/decreto_646_de_2023_1.pdf" TargetMode="External"/><Relationship Id="rId3" Type="http://schemas.openxmlformats.org/officeDocument/2006/relationships/settings" Target="settings.xml"/><Relationship Id="rId7" Type="http://schemas.openxmlformats.org/officeDocument/2006/relationships/hyperlink" Target="https://www.alcaldiabogota.gov.co/sisjur/normas/Norma1.jsp?i=119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osabiertos.bogota.gov.co/dataset/colegios-bogota-d-c" TargetMode="External"/><Relationship Id="rId11" Type="http://schemas.openxmlformats.org/officeDocument/2006/relationships/theme" Target="theme/theme1.xml"/><Relationship Id="rId5" Type="http://schemas.openxmlformats.org/officeDocument/2006/relationships/hyperlink" Target="https://datosabiertos.bogota.gov.co/dataset/delito-de-alto-impacto-bogota-d-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nrep.gov.co/es/series-estadisticas/see_precios_ipvu.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14</Pages>
  <Words>3798</Words>
  <Characters>20892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FUENTES GOMEZ</dc:creator>
  <cp:keywords/>
  <dc:description/>
  <cp:lastModifiedBy>SERGIO ANDRES FUENTES GOMEZ</cp:lastModifiedBy>
  <cp:revision>4</cp:revision>
  <dcterms:created xsi:type="dcterms:W3CDTF">2025-06-10T22:55:00Z</dcterms:created>
  <dcterms:modified xsi:type="dcterms:W3CDTF">2025-06-11T19:13:00Z</dcterms:modified>
</cp:coreProperties>
</file>