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B860" w14:textId="58292F04" w:rsidR="00C55B9B" w:rsidRPr="00A665AC" w:rsidRDefault="00C55B9B" w:rsidP="00384F3F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A665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Predicción de Demanda en Retail con Machine Learning</w:t>
      </w:r>
    </w:p>
    <w:p w14:paraId="18CCDA19" w14:textId="5DD5EF95" w:rsidR="00282EC8" w:rsidRPr="00282EC8" w:rsidRDefault="00282EC8" w:rsidP="00282EC8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Andrés Padrón Quintana. Manuel de la Tejera González.</w:t>
      </w:r>
    </w:p>
    <w:p w14:paraId="31C3F05C" w14:textId="76B7D935" w:rsidR="00C55B9B" w:rsidRPr="00384F3F" w:rsidRDefault="00C55B9B" w:rsidP="00C55B9B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</w:pPr>
      <w:r w:rsidRPr="00384F3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  <w:t>1) Decisión ejecutiva</w:t>
      </w:r>
    </w:p>
    <w:p w14:paraId="44E8C147" w14:textId="76766D53" w:rsidR="00C55B9B" w:rsidRPr="00C55B9B" w:rsidRDefault="00C55B9B" w:rsidP="00C55B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proyecto implementa un modelo predictivo de demanda mensual a nivel tienda–producto para reducir el error de pronóstico y habilitar decisiones operativas más rápidas y consistentes en inventario. Con un pipeline end-to-end (datos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features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entrenamiento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validación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generación de predicciones), se mejoró el desempeño frente a un baseline, reduciendo el error en Kaggle (proxy de generalización) de 1.21907 a 1.18463 en RMSE público (mejora relativa ≈ 2.8%).</w:t>
      </w:r>
    </w:p>
    <w:p w14:paraId="304BA20D" w14:textId="473949D5" w:rsidR="00C55B9B" w:rsidRPr="00C55B9B" w:rsidRDefault="00C55B9B" w:rsidP="00C55B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términos operativos, esta mejora implica </w:t>
      </w:r>
      <w:r w:rsidRPr="0078189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menor desviación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entre lo planificado y lo vendido, reduciendo costos por sobrestock y disminuyendo la probabilidad de quiebres de stock en productos clave.</w:t>
      </w:r>
    </w:p>
    <w:p w14:paraId="2A7ED4D7" w14:textId="2E10480E" w:rsidR="00C55B9B" w:rsidRPr="00384F3F" w:rsidRDefault="00C55B9B" w:rsidP="00C55B9B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</w:pPr>
      <w:r w:rsidRPr="00384F3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  <w:t xml:space="preserve">2) Qué hicimos </w:t>
      </w:r>
    </w:p>
    <w:p w14:paraId="5EB8047C" w14:textId="77777777" w:rsidR="00C55B9B" w:rsidRPr="009F3674" w:rsidRDefault="00C55B9B" w:rsidP="00C55B9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36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Consolidamos las ventas históricas diarias en un dataset mensual por tienda y producto, alineado con el objetivo del reto (pronóstico del mes 34).</w:t>
      </w:r>
    </w:p>
    <w:p w14:paraId="5490F4B8" w14:textId="77777777" w:rsidR="00C55B9B" w:rsidRPr="009F3674" w:rsidRDefault="00C55B9B" w:rsidP="00C55B9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36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Construimos variables predictoras (features) para capturar patrones de demanda: historial reciente (lags), promedios agregados por grupos y señales de estacionalidad por mes.</w:t>
      </w:r>
    </w:p>
    <w:p w14:paraId="1FF65371" w14:textId="6BE9F8B0" w:rsidR="00384F3F" w:rsidRPr="00384F3F" w:rsidRDefault="00C55B9B" w:rsidP="00384F3F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367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Entrenamos y evaluamos usando un split temporal (entrenar con meses anteriores y validar con el mes 33), evitando “ver el futuro”</w:t>
      </w:r>
      <w:r w:rsidR="00384F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lo que si hizimos fue que g</w:t>
      </w:r>
      <w:r w:rsidRPr="00384F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eneramos predicciones finales para el set de prueba y las exportamos c</w:t>
      </w:r>
    </w:p>
    <w:p w14:paraId="354F18FE" w14:textId="2EC6E971" w:rsidR="00C55B9B" w:rsidRPr="00384F3F" w:rsidRDefault="00C55B9B" w:rsidP="00384F3F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</w:pPr>
      <w:r w:rsidRPr="00384F3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  <w:t>3) Datos y hallazgos del EDA (antes de modelar)</w:t>
      </w:r>
    </w:p>
    <w:p w14:paraId="341818F5" w14:textId="52AFF1DA" w:rsidR="00C55B9B" w:rsidRPr="00C55B9B" w:rsidRDefault="00C55B9B" w:rsidP="00A275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Escala del problema y granularidad operativa.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A2753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histórico contiene 2,935,849 registros diarios; al agregarse a nivel mensual se obtienen 1,609,124 observaciones (pares tienda–producto por mes), con meses 0 a 33, 60 tiendas y 21,807 productos únicos. Esto confirma un escenario de alta dimensionalidad  y heterogeneidad por tienda.</w:t>
      </w:r>
    </w:p>
    <w:p w14:paraId="1B823B22" w14:textId="1C5617AA" w:rsidR="00C55B9B" w:rsidRPr="00A27535" w:rsidRDefault="00C55B9B" w:rsidP="00A275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2753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Comportamiento del target (</w:t>
      </w:r>
      <w:r w:rsidRPr="00A2753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MX"/>
          <w14:ligatures w14:val="none"/>
        </w:rPr>
        <w:t>item_cnt_month</w:t>
      </w:r>
      <w:r w:rsidRPr="00A2753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).</w:t>
      </w:r>
      <w:r w:rsidRPr="00A2753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demanda mensual por par tienda–producto está concentrada en valores bajos, lo cual es típico: mediana 1, percentil 75</w:t>
      </w:r>
      <w:r w:rsidR="004133A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  <w:r w:rsidRPr="00A2753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2, media ≈ 2.03 y desviación estándar ≈ 2.58. Para estabilidad del entrenamiento y alineación con la métrica del reto, se utiliza el </w:t>
      </w:r>
      <w:r w:rsidRPr="00A2753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clipping</w:t>
      </w:r>
      <w:r w:rsidRPr="00A2753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target/predicciones en el rango [0, 20], evitando que outliers dominen el RMSE.</w:t>
      </w:r>
    </w:p>
    <w:tbl>
      <w:tblPr>
        <w:tblStyle w:val="Tablaconcuadrcula"/>
        <w:tblW w:w="0" w:type="auto"/>
        <w:tblInd w:w="1455" w:type="dxa"/>
        <w:tblLook w:val="04A0" w:firstRow="1" w:lastRow="0" w:firstColumn="1" w:lastColumn="0" w:noHBand="0" w:noVBand="1"/>
      </w:tblPr>
      <w:tblGrid>
        <w:gridCol w:w="5083"/>
        <w:gridCol w:w="803"/>
      </w:tblGrid>
      <w:tr w:rsidR="00C55B9B" w:rsidRPr="00C55B9B" w14:paraId="771C12DC" w14:textId="77777777" w:rsidTr="004133A1">
        <w:tc>
          <w:tcPr>
            <w:tcW w:w="0" w:type="auto"/>
            <w:shd w:val="clear" w:color="auto" w:fill="D1D1D1" w:themeFill="background2" w:themeFillShade="E6"/>
            <w:hideMark/>
          </w:tcPr>
          <w:p w14:paraId="6E234FCE" w14:textId="77777777" w:rsidR="00C55B9B" w:rsidRPr="004133A1" w:rsidRDefault="00C55B9B" w:rsidP="00413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133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Métrica de demanda mensual (</w:t>
            </w:r>
            <w:r w:rsidRPr="004133A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s-MX"/>
                <w14:ligatures w14:val="none"/>
              </w:rPr>
              <w:t>item_cnt_month</w:t>
            </w:r>
            <w:r w:rsidRPr="004133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5BB9847A" w14:textId="77777777" w:rsidR="00C55B9B" w:rsidRPr="004133A1" w:rsidRDefault="00C55B9B" w:rsidP="00413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133A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</w:t>
            </w:r>
          </w:p>
        </w:tc>
      </w:tr>
      <w:tr w:rsidR="00C55B9B" w:rsidRPr="00C55B9B" w14:paraId="39BCA939" w14:textId="77777777" w:rsidTr="004133A1">
        <w:tc>
          <w:tcPr>
            <w:tcW w:w="0" w:type="auto"/>
            <w:shd w:val="clear" w:color="auto" w:fill="D1D1D1" w:themeFill="background2" w:themeFillShade="E6"/>
            <w:hideMark/>
          </w:tcPr>
          <w:p w14:paraId="0B0C7A43" w14:textId="77777777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78BB0506" w14:textId="5925B754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2.03</w:t>
            </w:r>
          </w:p>
        </w:tc>
      </w:tr>
      <w:tr w:rsidR="00C55B9B" w:rsidRPr="00C55B9B" w14:paraId="111CFDFA" w14:textId="77777777" w:rsidTr="004133A1">
        <w:tc>
          <w:tcPr>
            <w:tcW w:w="0" w:type="auto"/>
            <w:shd w:val="clear" w:color="auto" w:fill="D1D1D1" w:themeFill="background2" w:themeFillShade="E6"/>
            <w:hideMark/>
          </w:tcPr>
          <w:p w14:paraId="15B4B4DE" w14:textId="77777777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Desv. estándar</w:t>
            </w:r>
          </w:p>
        </w:tc>
        <w:tc>
          <w:tcPr>
            <w:tcW w:w="0" w:type="auto"/>
            <w:hideMark/>
          </w:tcPr>
          <w:p w14:paraId="508B7539" w14:textId="1C19D7EE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2.58</w:t>
            </w:r>
          </w:p>
        </w:tc>
      </w:tr>
      <w:tr w:rsidR="00C55B9B" w:rsidRPr="00C55B9B" w14:paraId="34A53970" w14:textId="77777777" w:rsidTr="004133A1">
        <w:tc>
          <w:tcPr>
            <w:tcW w:w="0" w:type="auto"/>
            <w:shd w:val="clear" w:color="auto" w:fill="D1D1D1" w:themeFill="background2" w:themeFillShade="E6"/>
            <w:hideMark/>
          </w:tcPr>
          <w:p w14:paraId="20481360" w14:textId="491C87C7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Mediana</w:t>
            </w:r>
          </w:p>
        </w:tc>
        <w:tc>
          <w:tcPr>
            <w:tcW w:w="0" w:type="auto"/>
            <w:hideMark/>
          </w:tcPr>
          <w:p w14:paraId="081BFC28" w14:textId="77777777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C55B9B" w:rsidRPr="00C55B9B" w14:paraId="604FE545" w14:textId="77777777" w:rsidTr="004133A1">
        <w:tc>
          <w:tcPr>
            <w:tcW w:w="0" w:type="auto"/>
            <w:shd w:val="clear" w:color="auto" w:fill="D1D1D1" w:themeFill="background2" w:themeFillShade="E6"/>
            <w:hideMark/>
          </w:tcPr>
          <w:p w14:paraId="41994C4A" w14:textId="2D6352EA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Percentil 75</w:t>
            </w:r>
          </w:p>
        </w:tc>
        <w:tc>
          <w:tcPr>
            <w:tcW w:w="0" w:type="auto"/>
            <w:hideMark/>
          </w:tcPr>
          <w:p w14:paraId="31107B1D" w14:textId="77777777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</w:tr>
      <w:tr w:rsidR="00C55B9B" w:rsidRPr="00C55B9B" w14:paraId="0D6FED19" w14:textId="77777777" w:rsidTr="004133A1">
        <w:tc>
          <w:tcPr>
            <w:tcW w:w="0" w:type="auto"/>
            <w:shd w:val="clear" w:color="auto" w:fill="D1D1D1" w:themeFill="background2" w:themeFillShade="E6"/>
            <w:hideMark/>
          </w:tcPr>
          <w:p w14:paraId="741B6AD2" w14:textId="77777777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Máximo (clip)</w:t>
            </w:r>
          </w:p>
        </w:tc>
        <w:tc>
          <w:tcPr>
            <w:tcW w:w="0" w:type="auto"/>
            <w:hideMark/>
          </w:tcPr>
          <w:p w14:paraId="5ADDE390" w14:textId="77777777" w:rsidR="00C55B9B" w:rsidRPr="00C55B9B" w:rsidRDefault="00C55B9B" w:rsidP="004133A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</w:t>
            </w:r>
          </w:p>
        </w:tc>
      </w:tr>
    </w:tbl>
    <w:p w14:paraId="19E78D22" w14:textId="77777777" w:rsidR="00C55B9B" w:rsidRDefault="00C55B9B" w:rsidP="004133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Insight visual por categorías.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La figura de “Top 10 categorías por unidades vendidas (train)” muestra una concentración importante del volumen en pocas categorías (por ejemplo, IDs </w:t>
      </w: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40, 30, 55, 19, 37, 23, 28, 20, 65, 63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). Esto sugiere que un modelo global debe capturar bien patrones dominantes, pero también generalizar a categorías con menos volumen (donde hay más riesgo de error y </w:t>
      </w:r>
      <w:r w:rsidRPr="00C55B9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cold-start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relativo).</w:t>
      </w:r>
    </w:p>
    <w:p w14:paraId="7C30640F" w14:textId="40683402" w:rsidR="00CB5CEF" w:rsidRPr="00C55B9B" w:rsidRDefault="00CB5CEF" w:rsidP="00CB5CEF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drawing>
          <wp:inline distT="0" distB="0" distL="0" distR="0" wp14:anchorId="78A009D0" wp14:editId="37977D58">
            <wp:extent cx="2496812" cy="1826419"/>
            <wp:effectExtent l="0" t="0" r="5715" b="2540"/>
            <wp:docPr id="87007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187" name="Imagen 87007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073" cy="18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41A7" w14:textId="0FB44530" w:rsidR="00C55B9B" w:rsidRPr="00C55B9B" w:rsidRDefault="00C55B9B" w:rsidP="00C55B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Implicación para negocio: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dado que la mayoría de pares tienda–producto tienen ventas bajas en un mes, el valor viene de capturar bien la señal temporal (persistencia/estacionalidad) con features tipo </w:t>
      </w: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lags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agregaciones, reduciendo errores que se traducen en sobrestock o quiebres.</w:t>
      </w:r>
    </w:p>
    <w:p w14:paraId="1C157232" w14:textId="77777777" w:rsidR="00C55B9B" w:rsidRPr="00384F3F" w:rsidRDefault="00C55B9B" w:rsidP="00C55B9B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</w:pPr>
      <w:r w:rsidRPr="00384F3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  <w:t>4) Resultados (métrica y comparación)</w:t>
      </w:r>
    </w:p>
    <w:p w14:paraId="7DCAA96C" w14:textId="77777777" w:rsidR="00C55B9B" w:rsidRPr="00C55B9B" w:rsidRDefault="00C55B9B" w:rsidP="00C55B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Métrica: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RMSE (Root Mean Squared Error). Menor es mejor.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2314"/>
        <w:gridCol w:w="1830"/>
        <w:gridCol w:w="2875"/>
      </w:tblGrid>
      <w:tr w:rsidR="00C55B9B" w:rsidRPr="00C55B9B" w14:paraId="19CB331A" w14:textId="77777777" w:rsidTr="00CB5CEF">
        <w:tc>
          <w:tcPr>
            <w:tcW w:w="0" w:type="auto"/>
            <w:shd w:val="clear" w:color="auto" w:fill="D1D1D1" w:themeFill="background2" w:themeFillShade="E6"/>
            <w:hideMark/>
          </w:tcPr>
          <w:p w14:paraId="62D29C74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Modelo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44C8F0AC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Validación (mes 33) RMSE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6BC5CADA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Kaggle Public RMSE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1E03FB44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Notas</w:t>
            </w:r>
          </w:p>
        </w:tc>
      </w:tr>
      <w:tr w:rsidR="00C55B9B" w:rsidRPr="00C55B9B" w14:paraId="11E1D4D0" w14:textId="77777777" w:rsidTr="00CB5CEF">
        <w:tc>
          <w:tcPr>
            <w:tcW w:w="0" w:type="auto"/>
            <w:shd w:val="clear" w:color="auto" w:fill="D1D1D1" w:themeFill="background2" w:themeFillShade="E6"/>
            <w:hideMark/>
          </w:tcPr>
          <w:p w14:paraId="2374264B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Baseline LightGBM</w:t>
            </w:r>
          </w:p>
        </w:tc>
        <w:tc>
          <w:tcPr>
            <w:tcW w:w="0" w:type="auto"/>
            <w:hideMark/>
          </w:tcPr>
          <w:p w14:paraId="39EDC76A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≈ 0.4982</w:t>
            </w:r>
          </w:p>
        </w:tc>
        <w:tc>
          <w:tcPr>
            <w:tcW w:w="0" w:type="auto"/>
            <w:hideMark/>
          </w:tcPr>
          <w:p w14:paraId="720801E0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1.21907</w:t>
            </w:r>
          </w:p>
        </w:tc>
        <w:tc>
          <w:tcPr>
            <w:tcW w:w="0" w:type="auto"/>
            <w:hideMark/>
          </w:tcPr>
          <w:p w14:paraId="383CDC72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Base rápida y estable</w:t>
            </w:r>
          </w:p>
        </w:tc>
      </w:tr>
      <w:tr w:rsidR="00C55B9B" w:rsidRPr="00C55B9B" w14:paraId="7D50F1F7" w14:textId="77777777" w:rsidTr="00CB5CEF">
        <w:tc>
          <w:tcPr>
            <w:tcW w:w="0" w:type="auto"/>
            <w:shd w:val="clear" w:color="auto" w:fill="D1D1D1" w:themeFill="background2" w:themeFillShade="E6"/>
            <w:hideMark/>
          </w:tcPr>
          <w:p w14:paraId="1FADE969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XGBoost (final)</w:t>
            </w:r>
          </w:p>
        </w:tc>
        <w:tc>
          <w:tcPr>
            <w:tcW w:w="0" w:type="auto"/>
            <w:hideMark/>
          </w:tcPr>
          <w:p w14:paraId="6DE01D4F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≈ 0.4773</w:t>
            </w:r>
          </w:p>
        </w:tc>
        <w:tc>
          <w:tcPr>
            <w:tcW w:w="0" w:type="auto"/>
            <w:hideMark/>
          </w:tcPr>
          <w:p w14:paraId="49D15A6E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1.18463</w:t>
            </w:r>
          </w:p>
        </w:tc>
        <w:tc>
          <w:tcPr>
            <w:tcW w:w="0" w:type="auto"/>
            <w:hideMark/>
          </w:tcPr>
          <w:p w14:paraId="7F871C2D" w14:textId="77777777" w:rsidR="00C55B9B" w:rsidRPr="00C55B9B" w:rsidRDefault="00C55B9B" w:rsidP="00C55B9B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5B9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Mejor generalización en leaderboard</w:t>
            </w:r>
          </w:p>
        </w:tc>
      </w:tr>
    </w:tbl>
    <w:p w14:paraId="255F883E" w14:textId="77777777" w:rsidR="00C55B9B" w:rsidRPr="00C55B9B" w:rsidRDefault="00C55B9B" w:rsidP="00C55B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Ganancia vs baseline (Kaggle Public):</w:t>
      </w:r>
    </w:p>
    <w:p w14:paraId="5CFA8192" w14:textId="77777777" w:rsidR="00C55B9B" w:rsidRPr="00CB5CEF" w:rsidRDefault="00C55B9B" w:rsidP="00C55B9B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C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Delta absoluto: 1.21907 − 1.18463 = 0.03444</w:t>
      </w:r>
    </w:p>
    <w:p w14:paraId="52F4DAA3" w14:textId="37DD5C71" w:rsidR="00C55B9B" w:rsidRDefault="00C55B9B" w:rsidP="00C55B9B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C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 relativa: 0.03444 / 1.21907 ≈ 2.8%</w:t>
      </w:r>
    </w:p>
    <w:p w14:paraId="6AC23295" w14:textId="184F907A" w:rsidR="00776729" w:rsidRPr="00776729" w:rsidRDefault="00776729" w:rsidP="0077672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7672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Análisis del error y comportamiento del modelo.</w:t>
      </w:r>
    </w:p>
    <w:p w14:paraId="34A94600" w14:textId="3F66668C" w:rsidR="00776729" w:rsidRPr="00776729" w:rsidRDefault="00776729" w:rsidP="0077672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7672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análisis de los datos muestra que la mayoría de los productos vende pocas unidades al mes, lo que implica que en muchos casos existe información histórica limitada para anticipar </w:t>
      </w:r>
      <w:r w:rsidRPr="0077672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cambios en la demanda. En estos productos, el modelo tiene mayor dificultad para ajustar con precisión, mientras que en aquellos con ventas más constantes el pronóstico es más estable.</w:t>
      </w:r>
    </w:p>
    <w:p w14:paraId="0F6C4BB8" w14:textId="5CEF4CEF" w:rsidR="00776729" w:rsidRPr="00CB5CEF" w:rsidRDefault="00776729" w:rsidP="0077672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7672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Adicionalmente, el modelo se apoya principalmente en el comportamiento pasado de las ventas y no incorpora información sobre promociones, cambios de precio o eventos extraordinarios. Esto hace que el pronóstico funcione bien para la demanda habitual, pero que tienda a quedarse corto cuando ocurren aumentos inesperados. En conjunto, los errores más relevantes se concentran en situaciones poco frecuentes y difíciles de anticipar, lo cual es consistente con el enfoque utilizado y refuerza la necesidad de incorporar nuevas señales en futuras iteraciones para mejorar la precisión en estos casos.</w:t>
      </w:r>
    </w:p>
    <w:p w14:paraId="16748439" w14:textId="77777777" w:rsidR="00C55B9B" w:rsidRPr="00384F3F" w:rsidRDefault="00C55B9B" w:rsidP="00C55B9B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</w:pPr>
      <w:r w:rsidRPr="00384F3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  <w:t>5) Interpretación para negocio</w:t>
      </w:r>
    </w:p>
    <w:p w14:paraId="0F012C7E" w14:textId="77777777" w:rsidR="00C55B9B" w:rsidRPr="00C55B9B" w:rsidRDefault="00C55B9B" w:rsidP="00C55B9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reducción de RMSE significa que, en promedio, el pronóstico está más cerca de la demanda real. En retail, mejoras de este tipo se traducen en:</w:t>
      </w:r>
    </w:p>
    <w:p w14:paraId="3B149093" w14:textId="77777777" w:rsidR="00C55B9B" w:rsidRPr="00C55B9B" w:rsidRDefault="00C55B9B" w:rsidP="00C55B9B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Menos sobrestock: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menor necesidad de inventario “colchón”, reduciendo costos de almacenamiento y liquidaciones.</w:t>
      </w:r>
    </w:p>
    <w:p w14:paraId="1EFB3717" w14:textId="77777777" w:rsidR="00C55B9B" w:rsidRPr="00C55B9B" w:rsidRDefault="00C55B9B" w:rsidP="00C55B9B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Menos quiebres de stock: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mejor anticipación de picos de demanda, reduciendo ventas perdidas y mejorando experiencia del cliente.</w:t>
      </w:r>
    </w:p>
    <w:p w14:paraId="267D1F1C" w14:textId="77777777" w:rsidR="00C55B9B" w:rsidRPr="00C55B9B" w:rsidRDefault="00C55B9B" w:rsidP="00C55B9B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Planeación operativa más consistente: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pronóstico mensual por tienda–producto habilita decisiones de reposición, asignación y logística con reglas más estandarizadas.</w:t>
      </w:r>
    </w:p>
    <w:p w14:paraId="291F4007" w14:textId="77777777" w:rsidR="00C55B9B" w:rsidRPr="00C55B9B" w:rsidRDefault="00C55B9B" w:rsidP="00C55B9B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Reproducibilidad del proceso: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reemplaza un enfoque reactivo/manual por un pipeline automático que puede correrse de manera periódica.</w:t>
      </w:r>
    </w:p>
    <w:p w14:paraId="495E761B" w14:textId="77777777" w:rsidR="00C55B9B" w:rsidRPr="00384F3F" w:rsidRDefault="00C55B9B" w:rsidP="00C55B9B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</w:pPr>
      <w:r w:rsidRPr="00384F3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  <w:t>6) Riesgos y limitaciones</w:t>
      </w:r>
    </w:p>
    <w:p w14:paraId="47E5C359" w14:textId="77777777" w:rsidR="00C55B9B" w:rsidRPr="00C55B9B" w:rsidRDefault="00C55B9B" w:rsidP="00C55B9B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Cold-start (poca historia):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pares tienda–producto con pocas observaciones tienen menos señal para aprender patrones robustos.</w:t>
      </w:r>
    </w:p>
    <w:p w14:paraId="3B247D08" w14:textId="77777777" w:rsidR="00C55B9B" w:rsidRPr="00C55B9B" w:rsidRDefault="00C55B9B" w:rsidP="00C55B9B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Validación interna limitada: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validar solo en el mes 33 puede no representar toda la variabilidad; Kaggle funciona como prueba adicional de generalización.</w:t>
      </w:r>
    </w:p>
    <w:p w14:paraId="27FAF20F" w14:textId="0A7E0607" w:rsidR="00C55B9B" w:rsidRPr="00C55B9B" w:rsidRDefault="00C55B9B" w:rsidP="00C55B9B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Clipping [0,20]: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restringir predicciones al rango del reto mejora estabilidad en la métrica, pero en producción debe alinearse a políticas de negocio (p. ej. mínimos de abastecimiento, límites por capacidad).</w:t>
      </w:r>
    </w:p>
    <w:p w14:paraId="612502D7" w14:textId="77777777" w:rsidR="00C55B9B" w:rsidRPr="00384F3F" w:rsidRDefault="00C55B9B" w:rsidP="00C55B9B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</w:pPr>
      <w:r w:rsidRPr="00384F3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s-MX"/>
          <w14:ligatures w14:val="none"/>
        </w:rPr>
        <w:t>7) Próximos pasos (acciones concretas)</w:t>
      </w:r>
    </w:p>
    <w:p w14:paraId="63EAD755" w14:textId="77777777" w:rsidR="00C55B9B" w:rsidRPr="00C55B9B" w:rsidRDefault="00C55B9B" w:rsidP="00C55B9B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Validación temporal robusta (rolling/backtesting):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evaluar múltiples ventanas (p. ej. validar en meses 30–33) para medir estabilidad y evitar sobreajuste a un solo mes.</w:t>
      </w:r>
    </w:p>
    <w:p w14:paraId="4353C0EE" w14:textId="77777777" w:rsidR="00C55B9B" w:rsidRPr="00C55B9B" w:rsidRDefault="00C55B9B" w:rsidP="00C55B9B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Features de mayor señal: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incorporar proxies de </w:t>
      </w: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precio/promoción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disponibilidad, calendario (festivos/eventos) y enriquecer agregaciones por categoría.</w:t>
      </w:r>
    </w:p>
    <w:p w14:paraId="1EDDE626" w14:textId="39E16956" w:rsidR="00C55B9B" w:rsidRPr="00C55B9B" w:rsidRDefault="00C55B9B" w:rsidP="00C55B9B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Segmentación operativa: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entrenar modelos por clusters (tiendas similares / familias de producto) y comparar contra el modelo global; suele mejorar desempeño y facilita decisiones específicas.</w:t>
      </w:r>
    </w:p>
    <w:p w14:paraId="41D30D5B" w14:textId="77777777" w:rsidR="00C55B9B" w:rsidRPr="0098795D" w:rsidRDefault="00C55B9B" w:rsidP="00C55B9B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9879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lastRenderedPageBreak/>
        <w:t>8) Anexo: evidencia de Kaggle</w:t>
      </w:r>
    </w:p>
    <w:p w14:paraId="4D714292" w14:textId="3CB1B180" w:rsidR="00C55B9B" w:rsidRPr="0098795D" w:rsidRDefault="00C55B9B" w:rsidP="00C55B9B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5B9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Screenshot leaderboard + timestamp:</w:t>
      </w:r>
      <w:r w:rsidRPr="00C55B9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A54DC5A" w14:textId="77777777" w:rsidR="0098795D" w:rsidRPr="00C55B9B" w:rsidRDefault="0098795D" w:rsidP="0098795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608DF50" w14:textId="58A99254" w:rsidR="00325557" w:rsidRDefault="0098795D">
      <w:r>
        <w:rPr>
          <w:noProof/>
        </w:rPr>
        <w:drawing>
          <wp:inline distT="0" distB="0" distL="0" distR="0" wp14:anchorId="7C5F86DD" wp14:editId="202A75B8">
            <wp:extent cx="5612130" cy="2505270"/>
            <wp:effectExtent l="0" t="0" r="1270" b="0"/>
            <wp:docPr id="18197689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68928" name="Imagen 181976892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57" r="-18" b="14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143" cy="2505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55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AE8"/>
    <w:multiLevelType w:val="multilevel"/>
    <w:tmpl w:val="0E22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925E5"/>
    <w:multiLevelType w:val="multilevel"/>
    <w:tmpl w:val="043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63EB"/>
    <w:multiLevelType w:val="multilevel"/>
    <w:tmpl w:val="D70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D0DE5"/>
    <w:multiLevelType w:val="multilevel"/>
    <w:tmpl w:val="64D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6641"/>
    <w:multiLevelType w:val="multilevel"/>
    <w:tmpl w:val="315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B3626"/>
    <w:multiLevelType w:val="multilevel"/>
    <w:tmpl w:val="333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73ED1"/>
    <w:multiLevelType w:val="multilevel"/>
    <w:tmpl w:val="212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63113"/>
    <w:multiLevelType w:val="multilevel"/>
    <w:tmpl w:val="C51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45A7F"/>
    <w:multiLevelType w:val="multilevel"/>
    <w:tmpl w:val="F36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1702A"/>
    <w:multiLevelType w:val="multilevel"/>
    <w:tmpl w:val="B77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C49B1"/>
    <w:multiLevelType w:val="multilevel"/>
    <w:tmpl w:val="B630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94AB7"/>
    <w:multiLevelType w:val="multilevel"/>
    <w:tmpl w:val="18D0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4854">
    <w:abstractNumId w:val="1"/>
  </w:num>
  <w:num w:numId="2" w16cid:durableId="1006907079">
    <w:abstractNumId w:val="3"/>
  </w:num>
  <w:num w:numId="3" w16cid:durableId="99495187">
    <w:abstractNumId w:val="6"/>
  </w:num>
  <w:num w:numId="4" w16cid:durableId="1775058190">
    <w:abstractNumId w:val="10"/>
  </w:num>
  <w:num w:numId="5" w16cid:durableId="1961257554">
    <w:abstractNumId w:val="0"/>
  </w:num>
  <w:num w:numId="6" w16cid:durableId="315838894">
    <w:abstractNumId w:val="2"/>
  </w:num>
  <w:num w:numId="7" w16cid:durableId="1556819426">
    <w:abstractNumId w:val="8"/>
  </w:num>
  <w:num w:numId="8" w16cid:durableId="1736394594">
    <w:abstractNumId w:val="7"/>
  </w:num>
  <w:num w:numId="9" w16cid:durableId="811336739">
    <w:abstractNumId w:val="5"/>
  </w:num>
  <w:num w:numId="10" w16cid:durableId="1793209721">
    <w:abstractNumId w:val="11"/>
  </w:num>
  <w:num w:numId="11" w16cid:durableId="772281974">
    <w:abstractNumId w:val="4"/>
  </w:num>
  <w:num w:numId="12" w16cid:durableId="2004384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0C"/>
    <w:rsid w:val="00044B22"/>
    <w:rsid w:val="00155052"/>
    <w:rsid w:val="002308FB"/>
    <w:rsid w:val="00282EC8"/>
    <w:rsid w:val="00306FAA"/>
    <w:rsid w:val="00325557"/>
    <w:rsid w:val="00384F3F"/>
    <w:rsid w:val="004133A1"/>
    <w:rsid w:val="00457798"/>
    <w:rsid w:val="006A3306"/>
    <w:rsid w:val="00776729"/>
    <w:rsid w:val="0078189E"/>
    <w:rsid w:val="0098795D"/>
    <w:rsid w:val="009F3674"/>
    <w:rsid w:val="00A27535"/>
    <w:rsid w:val="00A665AC"/>
    <w:rsid w:val="00A95044"/>
    <w:rsid w:val="00C55B9B"/>
    <w:rsid w:val="00CB5CEF"/>
    <w:rsid w:val="00CE460C"/>
    <w:rsid w:val="00DF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2ED8"/>
  <w15:chartTrackingRefBased/>
  <w15:docId w15:val="{E3401CF2-3BF5-7142-A9CC-57B347A0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4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6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6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6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6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4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6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6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6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6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6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6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46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6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4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6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46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6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6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46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6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CE460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E460C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E460C"/>
    <w:rPr>
      <w:i/>
      <w:iCs/>
    </w:rPr>
  </w:style>
  <w:style w:type="table" w:styleId="Tablaconcuadrcula">
    <w:name w:val="Table Grid"/>
    <w:basedOn w:val="Tablanormal"/>
    <w:uiPriority w:val="39"/>
    <w:rsid w:val="00413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959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PADRON QUINTANA</dc:creator>
  <cp:keywords/>
  <dc:description/>
  <cp:lastModifiedBy>ANDRES PADRON QUINTANA</cp:lastModifiedBy>
  <cp:revision>37</cp:revision>
  <dcterms:created xsi:type="dcterms:W3CDTF">2026-01-23T19:25:00Z</dcterms:created>
  <dcterms:modified xsi:type="dcterms:W3CDTF">2026-01-23T22:06:00Z</dcterms:modified>
</cp:coreProperties>
</file>