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1333" w14:textId="77777777" w:rsidR="006550C1" w:rsidRDefault="006550C1" w:rsidP="006550C1">
      <w:pPr>
        <w:pStyle w:val="Ttulo"/>
        <w:jc w:val="center"/>
      </w:pPr>
      <w:r>
        <w:t>Prueba Técnica</w:t>
      </w:r>
    </w:p>
    <w:p w14:paraId="38977361" w14:textId="77777777" w:rsidR="0047544C" w:rsidRPr="00640B6C" w:rsidRDefault="0047544C" w:rsidP="00CB5F1D">
      <w:pPr>
        <w:jc w:val="both"/>
        <w:rPr>
          <w:b/>
        </w:rPr>
      </w:pPr>
      <w:r w:rsidRPr="00640B6C">
        <w:rPr>
          <w:b/>
        </w:rPr>
        <w:t>Instructivo</w:t>
      </w:r>
    </w:p>
    <w:p w14:paraId="253220A3" w14:textId="77777777" w:rsidR="00CB5F1D" w:rsidRPr="00640B6C" w:rsidRDefault="00CB5F1D" w:rsidP="00CB5F1D">
      <w:pPr>
        <w:jc w:val="both"/>
      </w:pPr>
      <w:r w:rsidRPr="00640B6C">
        <w:t xml:space="preserve">Se solicita responder las siguientes preguntas asociadas </w:t>
      </w:r>
      <w:r w:rsidR="00640B6C">
        <w:t>a los productos coyunturales del Subdepartamento de Comercio y Servicios.</w:t>
      </w:r>
      <w:r w:rsidRPr="00640B6C">
        <w:t xml:space="preserve">  Para ello debe tener en cuenta lo siguiente:</w:t>
      </w:r>
    </w:p>
    <w:p w14:paraId="0F1AE33C" w14:textId="1457F72E" w:rsidR="00CB5F1D" w:rsidRPr="00640B6C" w:rsidRDefault="00A758F2" w:rsidP="00B34E9A">
      <w:pPr>
        <w:pStyle w:val="Prrafodelista"/>
        <w:numPr>
          <w:ilvl w:val="0"/>
          <w:numId w:val="2"/>
        </w:numPr>
        <w:spacing w:line="240" w:lineRule="auto"/>
        <w:jc w:val="both"/>
      </w:pPr>
      <w:r>
        <w:t>Lea bien las preguntas antes de responder.</w:t>
      </w:r>
    </w:p>
    <w:p w14:paraId="5E15A0C9" w14:textId="4842AC92" w:rsidR="00E60B96" w:rsidRDefault="00E60B96" w:rsidP="00B34E9A">
      <w:pPr>
        <w:pStyle w:val="Prrafodelista"/>
        <w:numPr>
          <w:ilvl w:val="0"/>
          <w:numId w:val="2"/>
        </w:numPr>
        <w:spacing w:line="240" w:lineRule="auto"/>
        <w:jc w:val="both"/>
      </w:pPr>
      <w:r w:rsidRPr="000D5603">
        <w:t>El tiempo que tendrá para desarrollar la prueba será de 1,5 hrs.</w:t>
      </w:r>
    </w:p>
    <w:p w14:paraId="3BA967C4" w14:textId="683EAB34" w:rsidR="00B34E9A" w:rsidRPr="000D5603" w:rsidRDefault="00A758F2" w:rsidP="00B34E9A">
      <w:pPr>
        <w:pStyle w:val="Prrafodelista"/>
        <w:numPr>
          <w:ilvl w:val="0"/>
          <w:numId w:val="2"/>
        </w:numPr>
        <w:spacing w:line="240" w:lineRule="auto"/>
        <w:jc w:val="both"/>
      </w:pPr>
      <w:r>
        <w:t>Enviar</w:t>
      </w:r>
      <w:r w:rsidR="00F43D1F">
        <w:t xml:space="preserve"> el documento word, </w:t>
      </w:r>
      <w:r w:rsidR="00B34E9A">
        <w:t xml:space="preserve">archivo excel y el script R </w:t>
      </w:r>
      <w:r>
        <w:t xml:space="preserve">(mas el archivo RData) </w:t>
      </w:r>
      <w:r w:rsidR="00B34E9A">
        <w:t xml:space="preserve">al correo </w:t>
      </w:r>
      <w:hyperlink r:id="rId8" w:history="1">
        <w:r w:rsidR="00B34E9A" w:rsidRPr="00DF27F6">
          <w:rPr>
            <w:rStyle w:val="Hipervnculo"/>
          </w:rPr>
          <w:t>ddclaverom@ine.gob.cl</w:t>
        </w:r>
      </w:hyperlink>
      <w:r w:rsidR="00B34E9A">
        <w:t xml:space="preserve"> y </w:t>
      </w:r>
      <w:hyperlink r:id="rId9" w:history="1">
        <w:r w:rsidR="00F5678A" w:rsidRPr="00DF27F6">
          <w:rPr>
            <w:rStyle w:val="Hipervnculo"/>
          </w:rPr>
          <w:t>imescobarp@ine.gob.cl</w:t>
        </w:r>
      </w:hyperlink>
      <w:r w:rsidR="00B34E9A">
        <w:t>.</w:t>
      </w:r>
      <w:r w:rsidR="00F5678A">
        <w:t xml:space="preserve"> En </w:t>
      </w:r>
      <w:r w:rsidR="00B34E9A">
        <w:t>el asunto del correo poner “PruebaTécnicaSDCS_INE_Nombrecompleto”.</w:t>
      </w:r>
    </w:p>
    <w:p w14:paraId="3FF43471" w14:textId="77777777" w:rsidR="003907E3" w:rsidRDefault="003907E3" w:rsidP="00C22F5F">
      <w:pPr>
        <w:pStyle w:val="Prrafodelista"/>
        <w:ind w:left="0"/>
      </w:pPr>
    </w:p>
    <w:p w14:paraId="168CB489" w14:textId="77777777" w:rsidR="00CB5F1D" w:rsidRPr="00681A18" w:rsidRDefault="00CB5F1D" w:rsidP="00C22F5F">
      <w:pPr>
        <w:pStyle w:val="Prrafodelista"/>
        <w:ind w:left="0"/>
        <w:rPr>
          <w:b/>
        </w:rPr>
      </w:pPr>
      <w:r w:rsidRPr="00681A18">
        <w:rPr>
          <w:b/>
        </w:rPr>
        <w:t>Pregunta 1</w:t>
      </w:r>
    </w:p>
    <w:p w14:paraId="2EF6AB4F" w14:textId="5F235EC7" w:rsidR="000718B8" w:rsidRPr="00681A18" w:rsidRDefault="0094210B" w:rsidP="00C22F5F">
      <w:pPr>
        <w:pStyle w:val="Prrafodelista"/>
        <w:ind w:left="0"/>
      </w:pPr>
      <w:r w:rsidRPr="00681A18">
        <w:t xml:space="preserve">Usted es el encargado del sector </w:t>
      </w:r>
      <w:r w:rsidR="006A70DD" w:rsidRPr="006A70DD">
        <w:t xml:space="preserve">Actividades profesionales, científicas y técnicas </w:t>
      </w:r>
      <w:r w:rsidRPr="00681A18">
        <w:t>y tiene que reda</w:t>
      </w:r>
      <w:r w:rsidR="00C22F5F" w:rsidRPr="00681A18">
        <w:t>ctar el boletín de coyuntura</w:t>
      </w:r>
      <w:r w:rsidRPr="00681A18">
        <w:t xml:space="preserve"> con </w:t>
      </w:r>
      <w:r w:rsidR="00CB5F1D" w:rsidRPr="00681A18">
        <w:t>las cifras expuestas en la Tabla N°1.</w:t>
      </w:r>
      <w:r w:rsidRPr="00681A18">
        <w:t xml:space="preserve"> (máx</w:t>
      </w:r>
      <w:r w:rsidR="006550C1" w:rsidRPr="00681A18">
        <w:t>.</w:t>
      </w:r>
      <w:r w:rsidRPr="00681A18">
        <w:t xml:space="preserve"> 20 líneas)</w:t>
      </w:r>
    </w:p>
    <w:p w14:paraId="4816D0BD" w14:textId="4BBEA54E" w:rsidR="00C22F5F" w:rsidRPr="00681A18" w:rsidRDefault="00C22F5F" w:rsidP="00C22F5F">
      <w:pPr>
        <w:pStyle w:val="Descripcin"/>
        <w:keepNext/>
        <w:spacing w:after="0"/>
        <w:rPr>
          <w:color w:val="auto"/>
          <w:sz w:val="22"/>
        </w:rPr>
      </w:pPr>
      <w:r w:rsidRPr="00681A18">
        <w:rPr>
          <w:color w:val="auto"/>
          <w:sz w:val="22"/>
        </w:rPr>
        <w:t xml:space="preserve">Tabla </w:t>
      </w:r>
      <w:r w:rsidRPr="00681A18">
        <w:rPr>
          <w:color w:val="auto"/>
          <w:sz w:val="22"/>
        </w:rPr>
        <w:fldChar w:fldCharType="begin"/>
      </w:r>
      <w:r w:rsidRPr="00681A18">
        <w:rPr>
          <w:color w:val="auto"/>
          <w:sz w:val="22"/>
        </w:rPr>
        <w:instrText xml:space="preserve"> SEQ Tabla \* ARABIC </w:instrText>
      </w:r>
      <w:r w:rsidRPr="00681A18">
        <w:rPr>
          <w:color w:val="auto"/>
          <w:sz w:val="22"/>
        </w:rPr>
        <w:fldChar w:fldCharType="separate"/>
      </w:r>
      <w:r w:rsidR="003907E3" w:rsidRPr="00681A18">
        <w:rPr>
          <w:noProof/>
          <w:color w:val="auto"/>
          <w:sz w:val="22"/>
        </w:rPr>
        <w:t>1</w:t>
      </w:r>
      <w:r w:rsidRPr="00681A18">
        <w:rPr>
          <w:color w:val="auto"/>
          <w:sz w:val="22"/>
        </w:rPr>
        <w:fldChar w:fldCharType="end"/>
      </w:r>
      <w:r w:rsidRPr="00681A18">
        <w:rPr>
          <w:color w:val="auto"/>
          <w:sz w:val="22"/>
        </w:rPr>
        <w:t xml:space="preserve"> Cifras coyunturales sector </w:t>
      </w:r>
      <w:r w:rsidR="006A70DD" w:rsidRPr="006A70DD">
        <w:rPr>
          <w:color w:val="auto"/>
          <w:sz w:val="22"/>
        </w:rPr>
        <w:t>Actividades profesionales, científicas y técnicas</w:t>
      </w:r>
    </w:p>
    <w:tbl>
      <w:tblPr>
        <w:tblW w:w="8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3"/>
        <w:gridCol w:w="765"/>
        <w:gridCol w:w="3170"/>
        <w:gridCol w:w="586"/>
        <w:gridCol w:w="931"/>
        <w:gridCol w:w="931"/>
        <w:gridCol w:w="940"/>
        <w:gridCol w:w="935"/>
      </w:tblGrid>
      <w:tr w:rsidR="00EB4F70" w:rsidRPr="00EB4F70" w14:paraId="1A84250C" w14:textId="77777777" w:rsidTr="00EB4F70">
        <w:trPr>
          <w:trHeight w:val="900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2174CD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Sección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8AB63C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Actividad</w:t>
            </w:r>
          </w:p>
        </w:tc>
        <w:tc>
          <w:tcPr>
            <w:tcW w:w="3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7E0CDD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Glosa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C057CC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 xml:space="preserve">Índice </w:t>
            </w:r>
          </w:p>
        </w:tc>
        <w:tc>
          <w:tcPr>
            <w:tcW w:w="9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F4FAF6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Variación 12 meses (%)</w:t>
            </w:r>
          </w:p>
        </w:tc>
        <w:tc>
          <w:tcPr>
            <w:tcW w:w="9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4C7EA4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Variación Mensual (%)</w:t>
            </w:r>
          </w:p>
        </w:tc>
        <w:tc>
          <w:tcPr>
            <w:tcW w:w="9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A33A2A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Variación Acumulada (%)</w:t>
            </w:r>
          </w:p>
        </w:tc>
        <w:tc>
          <w:tcPr>
            <w:tcW w:w="9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FB15E7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Incidencia a sección (**)</w:t>
            </w:r>
          </w:p>
        </w:tc>
      </w:tr>
      <w:tr w:rsidR="00EB4F70" w:rsidRPr="00EB4F70" w14:paraId="74537F2A" w14:textId="77777777" w:rsidTr="00EB4F70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8E0703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M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AFED23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 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291289" w14:textId="77777777" w:rsidR="00EB4F70" w:rsidRPr="00EB4F70" w:rsidRDefault="00EB4F70" w:rsidP="00EB4F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Actividades profesionales, científicas y técnicas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B8DBCC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95,06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D50CA1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1,4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526F6E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-6,7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899ADD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-0,6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06EA34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 </w:t>
            </w:r>
          </w:p>
        </w:tc>
      </w:tr>
      <w:tr w:rsidR="00EB4F70" w:rsidRPr="00EB4F70" w14:paraId="0E4ECEB5" w14:textId="77777777" w:rsidTr="00EB4F70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4269E4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E51E95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691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D2E9EF" w14:textId="77777777" w:rsidR="00EB4F70" w:rsidRPr="00EB4F70" w:rsidRDefault="00EB4F70" w:rsidP="00EB4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Actividades jurídicas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654B52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94,28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0745ED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-5,5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129DB1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-19,2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386E3C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-5,2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E9D2F4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-0,474</w:t>
            </w:r>
          </w:p>
        </w:tc>
      </w:tr>
      <w:tr w:rsidR="00EB4F70" w:rsidRPr="00EB4F70" w14:paraId="1A3561DF" w14:textId="77777777" w:rsidTr="00EB4F70">
        <w:trPr>
          <w:trHeight w:val="600"/>
        </w:trPr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5CB72C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EBB60C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692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B3EADE" w14:textId="77777777" w:rsidR="00EB4F70" w:rsidRPr="00EB4F70" w:rsidRDefault="00EB4F70" w:rsidP="00EB4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Actividades de contabilidad, teneduría de libros y auditoría; consultoría fiscal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45F5ED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108,85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F8768A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2,2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E8661E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-3,8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A292DE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-5,0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E9462A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0,187</w:t>
            </w:r>
          </w:p>
        </w:tc>
      </w:tr>
      <w:tr w:rsidR="00EB4F70" w:rsidRPr="00EB4F70" w14:paraId="78593BAF" w14:textId="77777777" w:rsidTr="00EB4F70">
        <w:trPr>
          <w:trHeight w:val="600"/>
        </w:trPr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F86CB9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6FBE57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70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E5CDDF" w14:textId="77777777" w:rsidR="00EB4F70" w:rsidRPr="00EB4F70" w:rsidRDefault="00EB4F70" w:rsidP="00EB4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Actividades de oficinas principales; actividades de consultoría de gestión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17BBAD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125,40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87C99D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6,7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4E9036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-2,3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FF2AFA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3,1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209DF9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2,159</w:t>
            </w:r>
          </w:p>
        </w:tc>
      </w:tr>
      <w:tr w:rsidR="00EB4F70" w:rsidRPr="00EB4F70" w14:paraId="47AE66E1" w14:textId="77777777" w:rsidTr="00EB4F70">
        <w:trPr>
          <w:trHeight w:val="600"/>
        </w:trPr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53ADCD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3F4374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711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0B728A" w14:textId="77777777" w:rsidR="00EB4F70" w:rsidRPr="00EB4F70" w:rsidRDefault="00EB4F70" w:rsidP="00EB4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Actividades de arquitectura e ingeniería y actividades conexas de consultoría técnica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35D0DB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70,63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9A284B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-4,3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088AB5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-11,9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BE03D6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-1,5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A630E5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-1,527</w:t>
            </w:r>
          </w:p>
        </w:tc>
      </w:tr>
      <w:tr w:rsidR="00EB4F70" w:rsidRPr="00EB4F70" w14:paraId="1430DCB3" w14:textId="77777777" w:rsidTr="00EB4F70">
        <w:trPr>
          <w:trHeight w:val="300"/>
        </w:trPr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ADAD98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0"/>
                <w:lang w:eastAsia="es-ES_tradnl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E94A42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731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D275A1" w14:textId="77777777" w:rsidR="00EB4F70" w:rsidRPr="00EB4F70" w:rsidRDefault="00EB4F70" w:rsidP="00EB4F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Publicidad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F78F69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111,45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457488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7,1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944086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2,7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7C3A95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-0,8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E0412A" w14:textId="77777777" w:rsidR="00EB4F70" w:rsidRPr="00EB4F70" w:rsidRDefault="00EB4F70" w:rsidP="00EB4F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</w:pPr>
            <w:r w:rsidRPr="00EB4F70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_tradnl"/>
              </w:rPr>
              <w:t>1,054</w:t>
            </w:r>
          </w:p>
        </w:tc>
      </w:tr>
    </w:tbl>
    <w:p w14:paraId="6FDACCEC" w14:textId="42918EDD" w:rsidR="00466088" w:rsidRPr="00466088" w:rsidRDefault="00466088" w:rsidP="00466088">
      <w:pPr>
        <w:tabs>
          <w:tab w:val="left" w:pos="6946"/>
        </w:tabs>
        <w:spacing w:after="0"/>
        <w:rPr>
          <w:sz w:val="18"/>
        </w:rPr>
      </w:pPr>
      <w:r w:rsidRPr="00466088">
        <w:rPr>
          <w:sz w:val="18"/>
        </w:rPr>
        <w:t>/P: Cifras provisionales.</w:t>
      </w:r>
    </w:p>
    <w:p w14:paraId="37F46688" w14:textId="77777777" w:rsidR="00466088" w:rsidRDefault="00466088" w:rsidP="00466088">
      <w:pPr>
        <w:tabs>
          <w:tab w:val="left" w:pos="6946"/>
        </w:tabs>
        <w:spacing w:after="0"/>
        <w:rPr>
          <w:sz w:val="18"/>
        </w:rPr>
      </w:pPr>
      <w:r w:rsidRPr="00466088">
        <w:rPr>
          <w:sz w:val="18"/>
        </w:rPr>
        <w:t>(**): Puntos porcentuales.</w:t>
      </w:r>
    </w:p>
    <w:p w14:paraId="360E3F5B" w14:textId="31EF3689" w:rsidR="005320B5" w:rsidRDefault="00877880" w:rsidP="00466088">
      <w:pPr>
        <w:tabs>
          <w:tab w:val="left" w:pos="6946"/>
        </w:tabs>
        <w:spacing w:after="0"/>
        <w:rPr>
          <w:sz w:val="18"/>
        </w:rPr>
      </w:pPr>
      <w:r>
        <w:rPr>
          <w:sz w:val="18"/>
        </w:rPr>
        <w:t>Nota1:</w:t>
      </w:r>
      <w:r w:rsidR="005320B5">
        <w:rPr>
          <w:sz w:val="18"/>
        </w:rPr>
        <w:t xml:space="preserve"> </w:t>
      </w:r>
      <w:r w:rsidR="005320B5" w:rsidRPr="00681A18">
        <w:rPr>
          <w:sz w:val="18"/>
        </w:rPr>
        <w:t>Cifras no desestacionalizadas</w:t>
      </w:r>
    </w:p>
    <w:p w14:paraId="410BE54F" w14:textId="564716C8" w:rsidR="006A70DD" w:rsidRDefault="006A70DD" w:rsidP="00466088">
      <w:pPr>
        <w:tabs>
          <w:tab w:val="left" w:pos="6946"/>
        </w:tabs>
        <w:spacing w:after="0"/>
        <w:rPr>
          <w:sz w:val="18"/>
        </w:rPr>
      </w:pPr>
      <w:r>
        <w:rPr>
          <w:sz w:val="18"/>
        </w:rPr>
        <w:t>Nota2: Cifras a precios corrientes</w:t>
      </w:r>
    </w:p>
    <w:p w14:paraId="0041E661" w14:textId="7B2FC40B" w:rsidR="00DD4DA5" w:rsidRDefault="00DD4DA5" w:rsidP="00466088">
      <w:pPr>
        <w:tabs>
          <w:tab w:val="left" w:pos="6946"/>
        </w:tabs>
        <w:spacing w:after="0"/>
        <w:rPr>
          <w:sz w:val="18"/>
        </w:rPr>
      </w:pPr>
    </w:p>
    <w:p w14:paraId="7280CBA9" w14:textId="4AD82E4B" w:rsidR="00DD4DA5" w:rsidRDefault="00DD4DA5" w:rsidP="00DD4DA5">
      <w:pPr>
        <w:tabs>
          <w:tab w:val="left" w:pos="6946"/>
        </w:tabs>
        <w:spacing w:after="0"/>
        <w:jc w:val="both"/>
        <w:rPr>
          <w:sz w:val="18"/>
        </w:rPr>
      </w:pPr>
      <w:r>
        <w:rPr>
          <w:sz w:val="18"/>
        </w:rPr>
        <w:t xml:space="preserve">La Tabla 1 presenta las cifras coyunturales sector Actividad profesionales, científicas y técnicas medidas en cifras no desestacionalizadas y a precios corrientes. Actividades de contabilidad, teneduría de libros y auditoria; consultoría fiscal, de oficinas principales y de publicidad mostraron una variación a 12 meses, siendo la más destacada el área de publicidad con una variación de 7.1%, en cambio, actividades como jurídica y de arquitectura e ingeniería presentaron retrocesos en su variación a 12 meses. </w:t>
      </w:r>
    </w:p>
    <w:p w14:paraId="6274D9F9" w14:textId="69C2EE47" w:rsidR="00DD4DA5" w:rsidRDefault="00DD4DA5" w:rsidP="00DD4DA5">
      <w:pPr>
        <w:tabs>
          <w:tab w:val="left" w:pos="6946"/>
        </w:tabs>
        <w:spacing w:after="0"/>
        <w:jc w:val="both"/>
        <w:rPr>
          <w:sz w:val="18"/>
        </w:rPr>
      </w:pPr>
    </w:p>
    <w:p w14:paraId="763C09F5" w14:textId="3403C4AA" w:rsidR="00DD4DA5" w:rsidRDefault="00DD4DA5" w:rsidP="00DD4DA5">
      <w:pPr>
        <w:tabs>
          <w:tab w:val="left" w:pos="6946"/>
        </w:tabs>
        <w:spacing w:after="0"/>
        <w:jc w:val="both"/>
        <w:rPr>
          <w:sz w:val="18"/>
        </w:rPr>
      </w:pPr>
      <w:r>
        <w:rPr>
          <w:sz w:val="18"/>
        </w:rPr>
        <w:t xml:space="preserve">En términos de la variación mensual de las actividades profesionales, jurídicas y técnicas vemos un retroceso de 6.7% con respecto al mes precedente, donde las actividades más afectadas son las jurídicas y de arquitectura muestran retrocesos mensuales de 19.2 y 11.9% respectivamente, si bien actividades de contabilidad y oficina muestran retrocesos estos son menores en comparación a las actividades ya mencionadas, con una variación mensual de 3.8 y 2.3% respectivamente. </w:t>
      </w:r>
      <w:r>
        <w:rPr>
          <w:sz w:val="18"/>
        </w:rPr>
        <w:lastRenderedPageBreak/>
        <w:t>Caso contrario es la actividad de la publicidad que fue en aumento en términos del cambio con su mes precedente, de 2.7%.</w:t>
      </w:r>
    </w:p>
    <w:p w14:paraId="45BD8CF1" w14:textId="13D4C981" w:rsidR="00DD4DA5" w:rsidRDefault="00DD4DA5" w:rsidP="00DD4DA5">
      <w:pPr>
        <w:tabs>
          <w:tab w:val="left" w:pos="6946"/>
        </w:tabs>
        <w:spacing w:after="0"/>
        <w:jc w:val="both"/>
        <w:rPr>
          <w:sz w:val="18"/>
        </w:rPr>
      </w:pPr>
    </w:p>
    <w:p w14:paraId="65430612" w14:textId="48DA3F84" w:rsidR="00DD4DA5" w:rsidRPr="00681A18" w:rsidRDefault="00DD4DA5" w:rsidP="00DD4DA5">
      <w:pPr>
        <w:tabs>
          <w:tab w:val="left" w:pos="6946"/>
        </w:tabs>
        <w:spacing w:after="0"/>
        <w:jc w:val="both"/>
        <w:rPr>
          <w:sz w:val="18"/>
        </w:rPr>
      </w:pPr>
      <w:r>
        <w:rPr>
          <w:sz w:val="18"/>
        </w:rPr>
        <w:t xml:space="preserve">Para la variación acumulada notamos un retroceso de las actividades profesionales de un 0.6% en términos no desestacionalizados, siendo lo más afectados las actividades jurídicas y de contabilidad con una variación de </w:t>
      </w:r>
      <w:r w:rsidR="00803F38">
        <w:rPr>
          <w:sz w:val="18"/>
        </w:rPr>
        <w:t>5.2 y 5%, junto también con actividades de arquitectura y de publicidad que también retrocedieron. En este índice hay un mejoramiento en las actividades de oficinas con una variación acumulada de 3.1% solapando el efecto total de la Sección M: Actividades profesionales, científicas y técnicas.</w:t>
      </w:r>
    </w:p>
    <w:p w14:paraId="597788AD" w14:textId="5830EC1D" w:rsidR="0098122D" w:rsidRDefault="0098122D" w:rsidP="006A70DD">
      <w:pPr>
        <w:jc w:val="both"/>
        <w:rPr>
          <w:b/>
        </w:rPr>
      </w:pPr>
      <w:r>
        <w:rPr>
          <w:b/>
        </w:rPr>
        <w:br w:type="page"/>
      </w:r>
    </w:p>
    <w:p w14:paraId="59C34B02" w14:textId="77777777" w:rsidR="00CB5F1D" w:rsidRPr="005320B5" w:rsidRDefault="00CB5F1D" w:rsidP="0098122D">
      <w:pPr>
        <w:pStyle w:val="Prrafodelista"/>
        <w:spacing w:after="0"/>
        <w:ind w:left="0"/>
        <w:rPr>
          <w:b/>
        </w:rPr>
      </w:pPr>
      <w:r w:rsidRPr="005320B5">
        <w:rPr>
          <w:b/>
        </w:rPr>
        <w:lastRenderedPageBreak/>
        <w:t>Pregunta 2</w:t>
      </w:r>
    </w:p>
    <w:p w14:paraId="3471E088" w14:textId="3780A1EE" w:rsidR="005061E0" w:rsidRDefault="00CB5F1D" w:rsidP="0098122D">
      <w:pPr>
        <w:tabs>
          <w:tab w:val="left" w:pos="6946"/>
        </w:tabs>
        <w:spacing w:after="0"/>
        <w:jc w:val="both"/>
      </w:pPr>
      <w:r w:rsidRPr="005320B5">
        <w:t xml:space="preserve">Se solicita a partir de la serie contenida en </w:t>
      </w:r>
      <w:r w:rsidR="006A70DD">
        <w:t>el archivo</w:t>
      </w:r>
      <w:r w:rsidR="00AC41C6">
        <w:t xml:space="preserve"> </w:t>
      </w:r>
      <w:r w:rsidR="00B34E9A">
        <w:t>“Prueba_SDCS_P2.xlsx”:</w:t>
      </w:r>
    </w:p>
    <w:p w14:paraId="3879A99E" w14:textId="0195BFE6" w:rsidR="005061E0" w:rsidRDefault="005061E0" w:rsidP="005061E0">
      <w:pPr>
        <w:pStyle w:val="Prrafodelista"/>
        <w:numPr>
          <w:ilvl w:val="0"/>
          <w:numId w:val="9"/>
        </w:numPr>
        <w:tabs>
          <w:tab w:val="left" w:pos="6946"/>
        </w:tabs>
        <w:spacing w:after="0"/>
        <w:jc w:val="both"/>
      </w:pPr>
      <w:r>
        <w:t>C</w:t>
      </w:r>
      <w:r w:rsidR="0094210B" w:rsidRPr="005320B5">
        <w:t xml:space="preserve">onstruir el índice laspeyres de </w:t>
      </w:r>
      <w:r w:rsidR="005320B5">
        <w:t xml:space="preserve">ventas </w:t>
      </w:r>
      <w:r w:rsidR="0094210B" w:rsidRPr="005320B5">
        <w:t xml:space="preserve">base </w:t>
      </w:r>
      <w:r w:rsidR="0098122D">
        <w:t xml:space="preserve">promedio año </w:t>
      </w:r>
      <w:r w:rsidR="0094210B" w:rsidRPr="005320B5">
        <w:t>2014=100</w:t>
      </w:r>
      <w:r w:rsidR="00CB5F1D" w:rsidRPr="005320B5">
        <w:t xml:space="preserve"> para </w:t>
      </w:r>
      <w:r w:rsidR="005320B5">
        <w:t>la</w:t>
      </w:r>
      <w:r w:rsidR="00AC41C6">
        <w:t>s</w:t>
      </w:r>
      <w:r w:rsidR="005320B5">
        <w:t xml:space="preserve"> </w:t>
      </w:r>
      <w:r w:rsidR="00AC41C6">
        <w:t>a</w:t>
      </w:r>
      <w:r w:rsidR="00AC41C6" w:rsidRPr="00AC41C6">
        <w:t xml:space="preserve">ctividades de </w:t>
      </w:r>
      <w:r w:rsidR="006B40A4">
        <w:t>alquiler y arriendamiento de vehículos automotores</w:t>
      </w:r>
      <w:r>
        <w:t>.</w:t>
      </w:r>
    </w:p>
    <w:p w14:paraId="68EF7A79" w14:textId="7D09A361" w:rsidR="00AE15C8" w:rsidRDefault="00AE15C8" w:rsidP="00AE15C8">
      <w:pPr>
        <w:tabs>
          <w:tab w:val="left" w:pos="6946"/>
        </w:tabs>
        <w:spacing w:after="0"/>
        <w:jc w:val="both"/>
      </w:pPr>
      <w:r>
        <w:t>Para esta pregunta se utilizo Excel y el procedimiento para calcular el índice Laspeyres de ventas base promedio año 2014=100 para actividad de alquiler y arrendamiento de vehículos automotores fue calcular el coeficiente de actualización para meses siguientes:</w:t>
      </w:r>
    </w:p>
    <w:p w14:paraId="75CDC742" w14:textId="7262151A" w:rsidR="00AE15C8" w:rsidRDefault="00AE15C8" w:rsidP="00AE15C8">
      <w:pPr>
        <w:tabs>
          <w:tab w:val="left" w:pos="6946"/>
        </w:tabs>
        <w:spacing w:after="0"/>
        <w:jc w:val="both"/>
      </w:pPr>
    </w:p>
    <w:p w14:paraId="37D07677" w14:textId="48EC381C" w:rsidR="00AE15C8" w:rsidRDefault="00AE15C8" w:rsidP="00AE15C8">
      <w:pPr>
        <w:tabs>
          <w:tab w:val="left" w:pos="6946"/>
        </w:tabs>
        <w:spacing w:after="0"/>
        <w:jc w:val="both"/>
      </w:pPr>
      <w:r>
        <w:t>Coef = (100/</w:t>
      </w:r>
      <w:r w:rsidRPr="00AE15C8">
        <w:t xml:space="preserve"> </w:t>
      </w:r>
      <w:r>
        <w:t>Ventas2014</w:t>
      </w:r>
      <w:r>
        <w:t>)</w:t>
      </w:r>
    </w:p>
    <w:p w14:paraId="29315CF8" w14:textId="3272F1D6" w:rsidR="00AE15C8" w:rsidRDefault="00AE15C8" w:rsidP="00AE15C8">
      <w:pPr>
        <w:tabs>
          <w:tab w:val="left" w:pos="6946"/>
        </w:tabs>
        <w:spacing w:after="0"/>
        <w:jc w:val="both"/>
      </w:pPr>
      <w:r>
        <w:t>Mes(t+1) = Ventas(t+1) * Coef</w:t>
      </w:r>
    </w:p>
    <w:p w14:paraId="7EB4676B" w14:textId="77777777" w:rsidR="00AE15C8" w:rsidRDefault="00AE15C8" w:rsidP="00AE15C8">
      <w:pPr>
        <w:tabs>
          <w:tab w:val="left" w:pos="6946"/>
        </w:tabs>
        <w:spacing w:after="0"/>
        <w:jc w:val="both"/>
      </w:pPr>
    </w:p>
    <w:p w14:paraId="692067DD" w14:textId="69F07B6A" w:rsidR="005061E0" w:rsidRDefault="005061E0" w:rsidP="005061E0">
      <w:pPr>
        <w:pStyle w:val="Prrafodelista"/>
        <w:numPr>
          <w:ilvl w:val="0"/>
          <w:numId w:val="9"/>
        </w:numPr>
        <w:tabs>
          <w:tab w:val="left" w:pos="6946"/>
        </w:tabs>
        <w:spacing w:after="0"/>
        <w:jc w:val="both"/>
      </w:pPr>
      <w:r>
        <w:t>Ca</w:t>
      </w:r>
      <w:r w:rsidR="00C12358">
        <w:t>lcul</w:t>
      </w:r>
      <w:r>
        <w:t>ar</w:t>
      </w:r>
      <w:r w:rsidR="00C12358">
        <w:t xml:space="preserve"> </w:t>
      </w:r>
      <w:r>
        <w:t>las</w:t>
      </w:r>
      <w:r w:rsidR="00C12358">
        <w:t xml:space="preserve"> variaciones en 12 meses</w:t>
      </w:r>
      <w:r>
        <w:t>.</w:t>
      </w:r>
    </w:p>
    <w:p w14:paraId="49BB81FA" w14:textId="46047657" w:rsidR="00AE15C8" w:rsidRDefault="00AE15C8" w:rsidP="00AE15C8">
      <w:pPr>
        <w:tabs>
          <w:tab w:val="left" w:pos="6946"/>
        </w:tabs>
        <w:spacing w:after="0"/>
        <w:jc w:val="both"/>
      </w:pPr>
    </w:p>
    <w:p w14:paraId="343CCEB5" w14:textId="166FC03E" w:rsidR="00AE15C8" w:rsidRDefault="00AE15C8" w:rsidP="00AE15C8">
      <w:pPr>
        <w:tabs>
          <w:tab w:val="left" w:pos="6946"/>
        </w:tabs>
        <w:spacing w:after="0"/>
        <w:jc w:val="both"/>
      </w:pPr>
      <w:r>
        <w:t>Las variaciones mensuales se calcularon de la siguiente forma:</w:t>
      </w:r>
    </w:p>
    <w:p w14:paraId="582EB8CA" w14:textId="137410AA" w:rsidR="00AE15C8" w:rsidRDefault="00AE15C8" w:rsidP="00AE15C8">
      <w:pPr>
        <w:tabs>
          <w:tab w:val="left" w:pos="6946"/>
        </w:tabs>
        <w:spacing w:after="0"/>
        <w:jc w:val="both"/>
      </w:pPr>
    </w:p>
    <w:p w14:paraId="66AFFB82" w14:textId="71879D82" w:rsidR="00AE15C8" w:rsidRDefault="00AE15C8" w:rsidP="00AE15C8">
      <w:pPr>
        <w:tabs>
          <w:tab w:val="left" w:pos="6946"/>
        </w:tabs>
        <w:spacing w:after="0"/>
        <w:jc w:val="both"/>
      </w:pPr>
      <w:r>
        <w:t>Variación_12_meses = (Mes(t)/Mes(t-12))-1</w:t>
      </w:r>
    </w:p>
    <w:p w14:paraId="7AB276F0" w14:textId="075777EE" w:rsidR="00AE15C8" w:rsidRDefault="00AE15C8" w:rsidP="00AE15C8">
      <w:pPr>
        <w:tabs>
          <w:tab w:val="left" w:pos="6946"/>
        </w:tabs>
        <w:spacing w:after="0"/>
        <w:jc w:val="both"/>
      </w:pPr>
    </w:p>
    <w:p w14:paraId="41A096EA" w14:textId="4FCAEDA5" w:rsidR="00AE15C8" w:rsidRDefault="00AE15C8" w:rsidP="00AE15C8">
      <w:pPr>
        <w:tabs>
          <w:tab w:val="left" w:pos="6946"/>
        </w:tabs>
        <w:spacing w:after="0"/>
        <w:jc w:val="both"/>
      </w:pPr>
      <w:r>
        <w:t>Donde t es el índice temporal.</w:t>
      </w:r>
    </w:p>
    <w:p w14:paraId="370BA43D" w14:textId="77777777" w:rsidR="00AE15C8" w:rsidRDefault="00AE15C8" w:rsidP="00AE15C8">
      <w:pPr>
        <w:tabs>
          <w:tab w:val="left" w:pos="6946"/>
        </w:tabs>
        <w:spacing w:after="0"/>
        <w:jc w:val="both"/>
      </w:pPr>
    </w:p>
    <w:p w14:paraId="342176BA" w14:textId="327622C8" w:rsidR="003B0F6F" w:rsidRDefault="005061E0" w:rsidP="005061E0">
      <w:pPr>
        <w:pStyle w:val="Prrafodelista"/>
        <w:numPr>
          <w:ilvl w:val="0"/>
          <w:numId w:val="9"/>
        </w:numPr>
        <w:tabs>
          <w:tab w:val="left" w:pos="6946"/>
        </w:tabs>
        <w:spacing w:after="0"/>
        <w:jc w:val="both"/>
      </w:pPr>
      <w:r>
        <w:t>Generar un gráfico con</w:t>
      </w:r>
      <w:r w:rsidR="00C12358">
        <w:t xml:space="preserve"> el índice </w:t>
      </w:r>
      <w:r>
        <w:t>y</w:t>
      </w:r>
      <w:r w:rsidR="00C12358">
        <w:t xml:space="preserve"> las variaciones (en un solo gráfico). </w:t>
      </w:r>
    </w:p>
    <w:p w14:paraId="2B053382" w14:textId="77777777" w:rsidR="00AE15C8" w:rsidRDefault="00AE15C8" w:rsidP="00AE15C8">
      <w:pPr>
        <w:tabs>
          <w:tab w:val="left" w:pos="6946"/>
        </w:tabs>
        <w:spacing w:after="0"/>
        <w:jc w:val="both"/>
      </w:pPr>
    </w:p>
    <w:p w14:paraId="79210EBF" w14:textId="7B4F4489" w:rsidR="00AE15C8" w:rsidRDefault="00AE15C8" w:rsidP="00AE15C8">
      <w:pPr>
        <w:tabs>
          <w:tab w:val="left" w:pos="6946"/>
        </w:tabs>
        <w:spacing w:after="0"/>
        <w:jc w:val="both"/>
      </w:pPr>
      <w:r>
        <w:t>El gráfico se presenta a continuación:</w:t>
      </w:r>
    </w:p>
    <w:p w14:paraId="58A229C8" w14:textId="5C07A324" w:rsidR="00AE15C8" w:rsidRDefault="00AE15C8" w:rsidP="00AE15C8">
      <w:pPr>
        <w:tabs>
          <w:tab w:val="left" w:pos="6946"/>
        </w:tabs>
        <w:spacing w:after="0"/>
        <w:jc w:val="both"/>
      </w:pPr>
      <w:r>
        <w:rPr>
          <w:noProof/>
        </w:rPr>
        <w:drawing>
          <wp:inline distT="0" distB="0" distL="0" distR="0" wp14:anchorId="0A46FEA8" wp14:editId="5010E035">
            <wp:extent cx="5537200" cy="2835895"/>
            <wp:effectExtent l="0" t="0" r="635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726" cy="284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08D329" w14:textId="77777777" w:rsidR="003B0F6F" w:rsidRDefault="003B0F6F">
      <w:r>
        <w:br w:type="page"/>
      </w:r>
    </w:p>
    <w:p w14:paraId="7F62A338" w14:textId="77777777" w:rsidR="0047544C" w:rsidRPr="003B0F6F" w:rsidRDefault="0047544C" w:rsidP="003B0F6F">
      <w:pPr>
        <w:tabs>
          <w:tab w:val="left" w:pos="6946"/>
        </w:tabs>
        <w:spacing w:after="0"/>
        <w:jc w:val="both"/>
      </w:pPr>
      <w:r w:rsidRPr="003B0F6F">
        <w:rPr>
          <w:b/>
        </w:rPr>
        <w:lastRenderedPageBreak/>
        <w:t>Pregunta 3</w:t>
      </w:r>
    </w:p>
    <w:p w14:paraId="061C896B" w14:textId="1C9DC89C" w:rsidR="00696564" w:rsidRDefault="00696564" w:rsidP="0098122D">
      <w:pPr>
        <w:pStyle w:val="Prrafodelista"/>
        <w:spacing w:after="0"/>
        <w:ind w:left="0"/>
        <w:jc w:val="both"/>
      </w:pPr>
      <w:r>
        <w:t xml:space="preserve">En el siguiente gráfico se muestra una serie de ventas mensuales de la empresa </w:t>
      </w:r>
      <w:r w:rsidR="006B40A4">
        <w:t xml:space="preserve">Buses Interurbanos Chile Lindo y Querido, </w:t>
      </w:r>
      <w:r>
        <w:t xml:space="preserve">la cual debe ser ingresada para el cálculo del índice mensual. Se solicita: </w:t>
      </w:r>
    </w:p>
    <w:p w14:paraId="0FD07AE8" w14:textId="24052106" w:rsidR="00696564" w:rsidRDefault="00696564" w:rsidP="0098122D">
      <w:pPr>
        <w:pStyle w:val="Prrafodelista"/>
        <w:numPr>
          <w:ilvl w:val="0"/>
          <w:numId w:val="3"/>
        </w:numPr>
        <w:spacing w:after="0"/>
        <w:jc w:val="both"/>
      </w:pPr>
      <w:r>
        <w:t>Analizar la serie de ventas.</w:t>
      </w:r>
    </w:p>
    <w:p w14:paraId="73D0B8AC" w14:textId="33CB1C80" w:rsidR="003B0F6F" w:rsidRDefault="003B0F6F" w:rsidP="003B0F6F">
      <w:pPr>
        <w:spacing w:after="0"/>
        <w:jc w:val="both"/>
      </w:pPr>
    </w:p>
    <w:p w14:paraId="12111BEB" w14:textId="3D87327F" w:rsidR="003B0F6F" w:rsidRDefault="003B0F6F" w:rsidP="003B0F6F">
      <w:pPr>
        <w:spacing w:after="0"/>
        <w:jc w:val="both"/>
      </w:pPr>
      <w:r>
        <w:t>La serie presentada corresponde a las ventas mensuales de la empresa Buses Interurbanos medidas en Millones de pesos para una serie de tiempo de enero del 2014 hasta noviembre del 2019. A simple vista nos damos cuenta que desde el inicio de la serie a septiembre 2016 y, junto con marzo 2017 hasta el final de la serie las ventas presentan una media constante, con ingresos entre 15.000 y 20.000 millones, destacando la estacionalidad de fiestas de navidad, año nuevo y de vacaciones de verano, es decir, para los meses mencionados existe una subida considerable dada la mayor demanda de viajes interurbanos.</w:t>
      </w:r>
    </w:p>
    <w:p w14:paraId="009D762C" w14:textId="77777777" w:rsidR="003B0F6F" w:rsidRDefault="003B0F6F" w:rsidP="003B0F6F">
      <w:pPr>
        <w:spacing w:after="0"/>
        <w:jc w:val="both"/>
      </w:pPr>
    </w:p>
    <w:p w14:paraId="4C07D020" w14:textId="06A8FE1E" w:rsidR="00696564" w:rsidRDefault="00696564" w:rsidP="0098122D">
      <w:pPr>
        <w:pStyle w:val="Prrafodelista"/>
        <w:numPr>
          <w:ilvl w:val="0"/>
          <w:numId w:val="3"/>
        </w:numPr>
        <w:spacing w:after="0"/>
        <w:jc w:val="both"/>
      </w:pPr>
      <w:r>
        <w:t>Indicar si cree necesario modificar/corregir la serie para ingresarla al cálculo. ¿Qué cambiaría? ¿Qué método utilizaría?</w:t>
      </w:r>
    </w:p>
    <w:p w14:paraId="1C297F6C" w14:textId="77777777" w:rsidR="003B0F6F" w:rsidRDefault="003B0F6F" w:rsidP="003B0F6F">
      <w:pPr>
        <w:spacing w:after="0"/>
        <w:jc w:val="both"/>
      </w:pPr>
    </w:p>
    <w:p w14:paraId="4833199A" w14:textId="5C78A86A" w:rsidR="00FC3269" w:rsidRDefault="00FC3269" w:rsidP="0098122D">
      <w:pPr>
        <w:pStyle w:val="Prrafodelista"/>
        <w:numPr>
          <w:ilvl w:val="0"/>
          <w:numId w:val="3"/>
        </w:numPr>
        <w:spacing w:after="0"/>
        <w:jc w:val="both"/>
      </w:pPr>
      <w:r>
        <w:t>¿Que consultas realizaria a</w:t>
      </w:r>
      <w:r w:rsidR="00B17138">
        <w:t>l informante que entrego los datos del gráfico</w:t>
      </w:r>
      <w:r>
        <w:t>?. Escribir el email que enviaría.</w:t>
      </w:r>
    </w:p>
    <w:p w14:paraId="43D98698" w14:textId="77777777" w:rsidR="003B0F6F" w:rsidRDefault="003B0F6F" w:rsidP="003B0F6F">
      <w:pPr>
        <w:pStyle w:val="Prrafodelista"/>
      </w:pPr>
    </w:p>
    <w:p w14:paraId="1BE1E34B" w14:textId="0BD51BC5" w:rsidR="003B0F6F" w:rsidRDefault="003B0F6F" w:rsidP="003B0F6F">
      <w:pPr>
        <w:spacing w:after="0"/>
        <w:jc w:val="both"/>
      </w:pPr>
      <w:r>
        <w:t xml:space="preserve">Estimado informante: </w:t>
      </w:r>
    </w:p>
    <w:p w14:paraId="5566446C" w14:textId="77777777" w:rsidR="003B0F6F" w:rsidRDefault="003B0F6F" w:rsidP="003B0F6F">
      <w:pPr>
        <w:spacing w:after="0"/>
        <w:jc w:val="both"/>
      </w:pPr>
    </w:p>
    <w:p w14:paraId="62C83E27" w14:textId="19ED4FB0" w:rsidR="00696564" w:rsidRDefault="003B0F6F" w:rsidP="008B59C8">
      <w:pPr>
        <w:spacing w:after="0"/>
        <w:jc w:val="both"/>
      </w:pPr>
      <w:r>
        <w:t xml:space="preserve">Junto con saludar, me dirijo a usted para hacer una consulta sobre el gráfico de buses interurbanos Chile Lindo y Querido y, tiene que ver principalmente con el dato de noviembre 2016. ¿Se podría verificar la consistencia </w:t>
      </w:r>
      <w:r w:rsidR="008B59C8">
        <w:t xml:space="preserve">o justificación </w:t>
      </w:r>
      <w:r>
        <w:t>de</w:t>
      </w:r>
      <w:r w:rsidR="008B59C8">
        <w:t>l mes mencionado? Esto tiene que ver que para noviembre del 2016 se alcanza una venta de 170.000 millones cuando en meses anteriores y siguientes la media fue de 20.000 millones, además, para esa fecha en los diferentes años vemos caídas de ventas, por ende, tampoco se puede explicar por estacionalidad.</w:t>
      </w:r>
    </w:p>
    <w:p w14:paraId="4016E07D" w14:textId="6879922E" w:rsidR="008B59C8" w:rsidRDefault="008B59C8" w:rsidP="008B59C8">
      <w:pPr>
        <w:spacing w:after="0"/>
        <w:jc w:val="both"/>
      </w:pPr>
    </w:p>
    <w:p w14:paraId="1AE9E58D" w14:textId="5D25FA2A" w:rsidR="008B59C8" w:rsidRDefault="008B59C8" w:rsidP="008B59C8">
      <w:pPr>
        <w:spacing w:after="0"/>
        <w:jc w:val="both"/>
      </w:pPr>
      <w:r>
        <w:t>Quedo atento a comentarios.</w:t>
      </w:r>
    </w:p>
    <w:p w14:paraId="7B008A0C" w14:textId="4EE95548" w:rsidR="008B59C8" w:rsidRDefault="008B59C8" w:rsidP="008B59C8">
      <w:pPr>
        <w:spacing w:after="0"/>
        <w:jc w:val="both"/>
      </w:pPr>
      <w:r>
        <w:t>Saludos cordiales,</w:t>
      </w:r>
    </w:p>
    <w:p w14:paraId="382250F7" w14:textId="1B9DC482" w:rsidR="006B40A4" w:rsidRPr="00696564" w:rsidRDefault="00631CF0" w:rsidP="006B40A4">
      <w:pPr>
        <w:pStyle w:val="Prrafodelista"/>
        <w:ind w:left="0"/>
        <w:jc w:val="center"/>
      </w:pPr>
      <w:r>
        <w:rPr>
          <w:noProof/>
        </w:rPr>
        <w:lastRenderedPageBreak/>
        <w:drawing>
          <wp:inline distT="0" distB="0" distL="0" distR="0" wp14:anchorId="0E887E6E" wp14:editId="52D67721">
            <wp:extent cx="5612130" cy="3032567"/>
            <wp:effectExtent l="0" t="0" r="127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21-04-07 a la(s) 19.23.44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9"/>
                    <a:stretch/>
                  </pic:blipFill>
                  <pic:spPr bwMode="auto">
                    <a:xfrm>
                      <a:off x="0" y="0"/>
                      <a:ext cx="5612130" cy="3032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558E7" w14:textId="4B8E7C11" w:rsidR="00E03F59" w:rsidRDefault="00E03F59" w:rsidP="00C22F5F">
      <w:pPr>
        <w:tabs>
          <w:tab w:val="left" w:pos="6946"/>
        </w:tabs>
        <w:jc w:val="both"/>
      </w:pPr>
    </w:p>
    <w:p w14:paraId="0C5628EC" w14:textId="77777777" w:rsidR="00FC3269" w:rsidRDefault="00FC3269" w:rsidP="00E46FB7">
      <w:pPr>
        <w:pStyle w:val="Prrafodelista"/>
        <w:ind w:left="0"/>
        <w:rPr>
          <w:b/>
        </w:rPr>
      </w:pPr>
    </w:p>
    <w:p w14:paraId="41723BF6" w14:textId="77777777" w:rsidR="00FC3269" w:rsidRDefault="00FC3269" w:rsidP="00E46FB7">
      <w:pPr>
        <w:pStyle w:val="Prrafodelista"/>
        <w:ind w:left="0"/>
        <w:rPr>
          <w:b/>
        </w:rPr>
      </w:pPr>
    </w:p>
    <w:p w14:paraId="1ADE0D4F" w14:textId="77777777" w:rsidR="00FC3269" w:rsidRDefault="00FC3269" w:rsidP="00E46FB7">
      <w:pPr>
        <w:pStyle w:val="Prrafodelista"/>
        <w:ind w:left="0"/>
        <w:rPr>
          <w:b/>
        </w:rPr>
      </w:pPr>
    </w:p>
    <w:p w14:paraId="524E2850" w14:textId="77777777" w:rsidR="00FC3269" w:rsidRDefault="00FC3269" w:rsidP="00E46FB7">
      <w:pPr>
        <w:pStyle w:val="Prrafodelista"/>
        <w:ind w:left="0"/>
        <w:rPr>
          <w:b/>
        </w:rPr>
      </w:pPr>
    </w:p>
    <w:p w14:paraId="4E3A9173" w14:textId="77777777" w:rsidR="00FC3269" w:rsidRDefault="00FC3269" w:rsidP="00E46FB7">
      <w:pPr>
        <w:pStyle w:val="Prrafodelista"/>
        <w:ind w:left="0"/>
        <w:rPr>
          <w:b/>
        </w:rPr>
      </w:pPr>
    </w:p>
    <w:p w14:paraId="4763949A" w14:textId="77777777" w:rsidR="00FC3269" w:rsidRDefault="00FC3269" w:rsidP="00E46FB7">
      <w:pPr>
        <w:pStyle w:val="Prrafodelista"/>
        <w:ind w:left="0"/>
        <w:rPr>
          <w:b/>
        </w:rPr>
      </w:pPr>
    </w:p>
    <w:p w14:paraId="4818D1DE" w14:textId="77777777" w:rsidR="00FC3269" w:rsidRDefault="00FC3269" w:rsidP="00E46FB7">
      <w:pPr>
        <w:pStyle w:val="Prrafodelista"/>
        <w:ind w:left="0"/>
        <w:rPr>
          <w:b/>
        </w:rPr>
      </w:pPr>
    </w:p>
    <w:p w14:paraId="2EA7DCE5" w14:textId="77777777" w:rsidR="00FC3269" w:rsidRDefault="00FC3269" w:rsidP="00E46FB7">
      <w:pPr>
        <w:pStyle w:val="Prrafodelista"/>
        <w:ind w:left="0"/>
        <w:rPr>
          <w:b/>
        </w:rPr>
      </w:pPr>
    </w:p>
    <w:p w14:paraId="5335E445" w14:textId="77777777" w:rsidR="003B0F6F" w:rsidRDefault="003B0F6F" w:rsidP="00E46FB7">
      <w:pPr>
        <w:pStyle w:val="Prrafodelista"/>
        <w:ind w:left="0"/>
        <w:rPr>
          <w:b/>
        </w:rPr>
      </w:pPr>
    </w:p>
    <w:p w14:paraId="2239FD99" w14:textId="77777777" w:rsidR="003B0F6F" w:rsidRDefault="003B0F6F">
      <w:pPr>
        <w:rPr>
          <w:b/>
        </w:rPr>
      </w:pPr>
      <w:r>
        <w:rPr>
          <w:b/>
        </w:rPr>
        <w:br w:type="page"/>
      </w:r>
    </w:p>
    <w:p w14:paraId="63305D9F" w14:textId="59C537AB" w:rsidR="00E46FB7" w:rsidRPr="00DB62EA" w:rsidRDefault="00E46FB7" w:rsidP="00E46FB7">
      <w:pPr>
        <w:pStyle w:val="Prrafodelista"/>
        <w:ind w:left="0"/>
        <w:rPr>
          <w:b/>
        </w:rPr>
      </w:pPr>
      <w:r>
        <w:rPr>
          <w:b/>
        </w:rPr>
        <w:lastRenderedPageBreak/>
        <w:t>Pregunta 4</w:t>
      </w:r>
    </w:p>
    <w:p w14:paraId="51849672" w14:textId="77C3937A" w:rsidR="00EB655C" w:rsidRDefault="0080070C" w:rsidP="0098122D">
      <w:pPr>
        <w:spacing w:after="0"/>
        <w:jc w:val="both"/>
      </w:pPr>
      <w:bookmarkStart w:id="0" w:name="_MailEndCompose"/>
      <w:r>
        <w:t xml:space="preserve">Según el </w:t>
      </w:r>
      <w:bookmarkEnd w:id="0"/>
      <w:r w:rsidR="00EB655C">
        <w:t xml:space="preserve">gráfico a continuación, el Índice de Ventas </w:t>
      </w:r>
      <w:r w:rsidR="00AC41C6">
        <w:t>de Actividades Artísticas de Entretenimiento y Recreativas</w:t>
      </w:r>
      <w:r w:rsidR="00EB655C">
        <w:t xml:space="preserve"> disminuyó 6</w:t>
      </w:r>
      <w:r w:rsidR="00AC41C6">
        <w:t>6</w:t>
      </w:r>
      <w:r w:rsidR="00EB655C">
        <w:t>,</w:t>
      </w:r>
      <w:r w:rsidR="00AC41C6">
        <w:t>1</w:t>
      </w:r>
      <w:r w:rsidR="00EB655C">
        <w:t xml:space="preserve">% en </w:t>
      </w:r>
      <w:r w:rsidR="00AC41C6">
        <w:t>febrero de 2021</w:t>
      </w:r>
      <w:r w:rsidR="00EB655C">
        <w:t>.</w:t>
      </w:r>
    </w:p>
    <w:p w14:paraId="668C6CA7" w14:textId="0733C87D" w:rsidR="00EB655C" w:rsidRDefault="00EB655C" w:rsidP="0098122D">
      <w:pPr>
        <w:pStyle w:val="Prrafodelista"/>
        <w:numPr>
          <w:ilvl w:val="0"/>
          <w:numId w:val="4"/>
        </w:numPr>
        <w:spacing w:after="0"/>
        <w:jc w:val="both"/>
      </w:pPr>
      <w:r>
        <w:t>Analice la ser</w:t>
      </w:r>
      <w:r w:rsidR="00D37F81">
        <w:t>ie del índice y las variaciones que muestra el gráfico.</w:t>
      </w:r>
    </w:p>
    <w:p w14:paraId="689F29D7" w14:textId="77777777" w:rsidR="003B0F6F" w:rsidRDefault="003B0F6F" w:rsidP="003B0F6F">
      <w:pPr>
        <w:spacing w:after="0"/>
        <w:jc w:val="both"/>
      </w:pPr>
    </w:p>
    <w:p w14:paraId="2FBFC1FB" w14:textId="00DFCDFC" w:rsidR="00803F38" w:rsidRDefault="00803F38" w:rsidP="00803F38">
      <w:pPr>
        <w:spacing w:after="0"/>
        <w:jc w:val="both"/>
      </w:pPr>
      <w:r>
        <w:t xml:space="preserve">La serie sobre la evolución del índice de ventas de actividades artísticas, de entretenimiento y recreativos con base promedio año 2014 = 100 muestra dos caídas importantes, i. a finales del 2019 cuando el país se ve enfrentado al estallido social, junto con pérdidas de relevantes de empleos durante noviembre y una abrupta caída en la confianza de hogares y empresas dado el complejo momento político/social que enfrenta el país y ii. L caída constante del índice a partir de febrero del 2020 </w:t>
      </w:r>
      <w:r w:rsidR="003B0F6F">
        <w:t>que responde a la propagación del COVID-19 y la crisis sanitaria.</w:t>
      </w:r>
    </w:p>
    <w:p w14:paraId="3F0C8569" w14:textId="5E66D1ED" w:rsidR="00803F38" w:rsidRDefault="00803F38" w:rsidP="00803F38">
      <w:pPr>
        <w:spacing w:after="0"/>
        <w:jc w:val="both"/>
      </w:pPr>
    </w:p>
    <w:p w14:paraId="29906790" w14:textId="7FAEE540" w:rsidR="00803F38" w:rsidRDefault="00803F38" w:rsidP="00803F38">
      <w:pPr>
        <w:spacing w:after="0"/>
        <w:jc w:val="both"/>
      </w:pPr>
      <w:r>
        <w:t>Para febrero del 2021 se observa una disminución del 66.1%   de índice de ventas  de actividades artísticas, de entretenimiento y recreativas. Junto que el índice tuvo una caída abrupta desde febrero del 2020 en adelante siendo Julio el mes con mayor ca</w:t>
      </w:r>
      <w:r w:rsidR="003B0F6F">
        <w:t xml:space="preserve">ída presentada en términos de variación a 12 meses, con una caída del 75% y que al pasar los meses este se fue recuperando, principalmente con una subida en el mes de diciembre, principalmente por efecto navidad. </w:t>
      </w:r>
    </w:p>
    <w:p w14:paraId="739DBAAA" w14:textId="77777777" w:rsidR="003B0F6F" w:rsidRDefault="003B0F6F" w:rsidP="00803F38">
      <w:pPr>
        <w:spacing w:after="0"/>
        <w:jc w:val="both"/>
      </w:pPr>
    </w:p>
    <w:p w14:paraId="34312952" w14:textId="050EF3B0" w:rsidR="0098122D" w:rsidRDefault="00EB655C" w:rsidP="0098122D">
      <w:pPr>
        <w:pStyle w:val="Prrafodelista"/>
        <w:numPr>
          <w:ilvl w:val="0"/>
          <w:numId w:val="4"/>
        </w:numPr>
        <w:spacing w:after="0"/>
        <w:jc w:val="both"/>
      </w:pPr>
      <w:r w:rsidRPr="00C22F5F">
        <w:t>¿</w:t>
      </w:r>
      <w:r w:rsidR="006550C1">
        <w:t>Qué</w:t>
      </w:r>
      <w:r w:rsidR="0080070C">
        <w:t xml:space="preserve"> fact</w:t>
      </w:r>
      <w:r>
        <w:t xml:space="preserve">ores cree que influyeron en el descenso </w:t>
      </w:r>
      <w:r w:rsidR="00AC41C6">
        <w:t>desde abril de 2020</w:t>
      </w:r>
      <w:r w:rsidR="0080070C">
        <w:t xml:space="preserve">? </w:t>
      </w:r>
    </w:p>
    <w:p w14:paraId="29A75804" w14:textId="77777777" w:rsidR="003B0F6F" w:rsidRDefault="003B0F6F" w:rsidP="003B0F6F">
      <w:pPr>
        <w:spacing w:after="0"/>
        <w:jc w:val="both"/>
      </w:pPr>
    </w:p>
    <w:p w14:paraId="541B8A83" w14:textId="39B9B297" w:rsidR="003B0F6F" w:rsidRDefault="003B0F6F" w:rsidP="003B0F6F">
      <w:pPr>
        <w:spacing w:after="0"/>
        <w:jc w:val="both"/>
      </w:pPr>
      <w:r>
        <w:t xml:space="preserve">El descenso desde abril 20202 </w:t>
      </w:r>
      <w:r>
        <w:t>responde principalmente a una desaceleración económica buscada por la necesidad de parar actividades económicas como forma de combatir la propagación del COVID-19</w:t>
      </w:r>
      <w:r>
        <w:t>, con medidas de cierre de centros comerciales y con familias en casa haciendo cuarentena como parte de estrategia para frenar el virus.</w:t>
      </w:r>
    </w:p>
    <w:p w14:paraId="5D0B02C8" w14:textId="77777777" w:rsidR="0098122D" w:rsidRDefault="0098122D" w:rsidP="0098122D">
      <w:pPr>
        <w:spacing w:after="0"/>
        <w:jc w:val="both"/>
      </w:pPr>
    </w:p>
    <w:p w14:paraId="0A76A440" w14:textId="7880D5C9" w:rsidR="003B0F6F" w:rsidRDefault="00AC41C6" w:rsidP="0098122D">
      <w:pPr>
        <w:jc w:val="center"/>
      </w:pPr>
      <w:r>
        <w:rPr>
          <w:noProof/>
        </w:rPr>
        <w:drawing>
          <wp:inline distT="0" distB="0" distL="0" distR="0" wp14:anchorId="48358ABC" wp14:editId="007130AE">
            <wp:extent cx="4320573" cy="222763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1-04-07 a la(s) 18.49.55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5" t="18518" r="13583" b="17489"/>
                    <a:stretch/>
                  </pic:blipFill>
                  <pic:spPr bwMode="auto">
                    <a:xfrm>
                      <a:off x="0" y="0"/>
                      <a:ext cx="4329148" cy="223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67057" w14:textId="77777777" w:rsidR="003B0F6F" w:rsidRDefault="003B0F6F">
      <w:r>
        <w:br w:type="page"/>
      </w:r>
    </w:p>
    <w:p w14:paraId="6D94BEED" w14:textId="77777777" w:rsidR="00A23266" w:rsidRDefault="00A23266" w:rsidP="00A23266">
      <w:pPr>
        <w:pStyle w:val="Prrafodelista"/>
        <w:ind w:left="0"/>
        <w:rPr>
          <w:b/>
        </w:rPr>
      </w:pPr>
      <w:r>
        <w:rPr>
          <w:b/>
        </w:rPr>
        <w:lastRenderedPageBreak/>
        <w:t>Pregunta 5</w:t>
      </w:r>
      <w:r w:rsidR="009A7F01">
        <w:rPr>
          <w:b/>
        </w:rPr>
        <w:t xml:space="preserve"> </w:t>
      </w:r>
      <w:r w:rsidR="0057448D">
        <w:rPr>
          <w:b/>
        </w:rPr>
        <w:t>–</w:t>
      </w:r>
      <w:r w:rsidR="009A7F01">
        <w:rPr>
          <w:b/>
        </w:rPr>
        <w:t xml:space="preserve"> </w:t>
      </w:r>
      <w:r w:rsidR="0057448D">
        <w:rPr>
          <w:b/>
        </w:rPr>
        <w:t>Conocimiento de software estadístico R</w:t>
      </w:r>
    </w:p>
    <w:p w14:paraId="3BA7139B" w14:textId="2D225049" w:rsidR="00301655" w:rsidRDefault="0057448D" w:rsidP="00301655">
      <w:pPr>
        <w:pStyle w:val="Prrafodelista"/>
      </w:pPr>
      <w:r w:rsidRPr="0057448D">
        <w:t xml:space="preserve">Para este ejercicio, usaremos  </w:t>
      </w:r>
      <w:r w:rsidR="00301655">
        <w:t>“Base_Datos" contenida en el excel "Prueba_</w:t>
      </w:r>
      <w:r w:rsidR="00A758F2">
        <w:t>SDCS</w:t>
      </w:r>
      <w:r w:rsidR="00301655">
        <w:t>_</w:t>
      </w:r>
      <w:r w:rsidR="00A758F2">
        <w:t>P5</w:t>
      </w:r>
      <w:r w:rsidR="00301655">
        <w:t xml:space="preserve">.xlsx". </w:t>
      </w:r>
    </w:p>
    <w:p w14:paraId="06A04ADC" w14:textId="77777777" w:rsidR="00301655" w:rsidRDefault="00301655" w:rsidP="00301655">
      <w:pPr>
        <w:pStyle w:val="Prrafodelista"/>
      </w:pPr>
    </w:p>
    <w:p w14:paraId="65F1ECEA" w14:textId="179C2303" w:rsidR="00301655" w:rsidRDefault="00301655" w:rsidP="00301655">
      <w:pPr>
        <w:pStyle w:val="Prrafodelista"/>
        <w:numPr>
          <w:ilvl w:val="0"/>
          <w:numId w:val="10"/>
        </w:numPr>
        <w:jc w:val="both"/>
      </w:pPr>
      <w:r>
        <w:t xml:space="preserve"> Cargue la base de datos de la hoja 2 denominada "Base_Datos" contenida en el excel "Prueba_</w:t>
      </w:r>
      <w:r w:rsidR="00A758F2">
        <w:t>SDCS</w:t>
      </w:r>
      <w:r>
        <w:t>_</w:t>
      </w:r>
      <w:r w:rsidR="00A758F2">
        <w:t>P5</w:t>
      </w:r>
      <w:r>
        <w:t>.xlsx". Asignele el nombre de "base_servicios"</w:t>
      </w:r>
    </w:p>
    <w:p w14:paraId="30089D48" w14:textId="77777777" w:rsidR="00301655" w:rsidRDefault="00301655" w:rsidP="00301655">
      <w:pPr>
        <w:pStyle w:val="Prrafodelista"/>
        <w:numPr>
          <w:ilvl w:val="0"/>
          <w:numId w:val="10"/>
        </w:numPr>
        <w:jc w:val="both"/>
      </w:pPr>
      <w:r>
        <w:t>Mediante una función indique el número de observaciones y nombre de las variables de la base recien cargada.</w:t>
      </w:r>
    </w:p>
    <w:p w14:paraId="296BB973" w14:textId="77777777" w:rsidR="00301655" w:rsidRDefault="00301655" w:rsidP="00301655">
      <w:pPr>
        <w:pStyle w:val="Prrafodelista"/>
        <w:numPr>
          <w:ilvl w:val="0"/>
          <w:numId w:val="10"/>
        </w:numPr>
        <w:jc w:val="both"/>
      </w:pPr>
      <w:r>
        <w:t>Cree la variable "VENTAS2020" como la suma de las ventas de enero hasta abril</w:t>
      </w:r>
    </w:p>
    <w:p w14:paraId="1CC6D778" w14:textId="77777777" w:rsidR="00301655" w:rsidRDefault="00301655" w:rsidP="00301655">
      <w:pPr>
        <w:pStyle w:val="Prrafodelista"/>
        <w:numPr>
          <w:ilvl w:val="0"/>
          <w:numId w:val="10"/>
        </w:numPr>
        <w:jc w:val="both"/>
      </w:pPr>
      <w:r>
        <w:t>Genere la base de datos "Actividad" como la suma de las ventas de enero hasta abril por actividad economica.</w:t>
      </w:r>
    </w:p>
    <w:p w14:paraId="27501BF3" w14:textId="77777777" w:rsidR="00301655" w:rsidRDefault="00301655" w:rsidP="00301655">
      <w:pPr>
        <w:pStyle w:val="Prrafodelista"/>
        <w:numPr>
          <w:ilvl w:val="0"/>
          <w:numId w:val="10"/>
        </w:numPr>
        <w:jc w:val="both"/>
      </w:pPr>
      <w:r>
        <w:t>Mediante la utilizacion de una función creada por usted, agregue una nueva variable denominada "GLOSA_ACT_ECON" que indique, "Transporte y almacenamiento" para las actividades economicas 4923 y 521, "Actividades de alojamiento y de servicio de comidas" para 561 y 562, y "Otras actividades de servicios" para la 96.</w:t>
      </w:r>
    </w:p>
    <w:p w14:paraId="157C2ED4" w14:textId="1D3F7369" w:rsidR="00A23266" w:rsidRPr="0033274E" w:rsidRDefault="00301655" w:rsidP="0033274E">
      <w:pPr>
        <w:pStyle w:val="Prrafodelista"/>
        <w:numPr>
          <w:ilvl w:val="0"/>
          <w:numId w:val="10"/>
        </w:numPr>
        <w:jc w:val="both"/>
      </w:pPr>
      <w:r>
        <w:t>Guarde el desarrollo en formato imagen RData con el nombre de "Desarrollo_</w:t>
      </w:r>
      <w:r w:rsidR="00A758F2">
        <w:t>Prueba_SDCS_P5</w:t>
      </w:r>
      <w:r>
        <w:t>.RData"</w:t>
      </w:r>
      <w:r w:rsidR="00F43D1F">
        <w:t>.</w:t>
      </w:r>
    </w:p>
    <w:p w14:paraId="581D3BD4" w14:textId="77777777" w:rsidR="00A23266" w:rsidRDefault="00A23266" w:rsidP="003D2493">
      <w:pPr>
        <w:jc w:val="both"/>
      </w:pPr>
    </w:p>
    <w:sectPr w:rsidR="00A2326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80137" w14:textId="77777777" w:rsidR="002D49F7" w:rsidRDefault="002D49F7" w:rsidP="0047544C">
      <w:pPr>
        <w:spacing w:after="0" w:line="240" w:lineRule="auto"/>
      </w:pPr>
      <w:r>
        <w:separator/>
      </w:r>
    </w:p>
  </w:endnote>
  <w:endnote w:type="continuationSeparator" w:id="0">
    <w:p w14:paraId="7AA6E93F" w14:textId="77777777" w:rsidR="002D49F7" w:rsidRDefault="002D49F7" w:rsidP="00475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FC424" w14:textId="77777777" w:rsidR="002D49F7" w:rsidRDefault="002D49F7" w:rsidP="0047544C">
      <w:pPr>
        <w:spacing w:after="0" w:line="240" w:lineRule="auto"/>
      </w:pPr>
      <w:r>
        <w:separator/>
      </w:r>
    </w:p>
  </w:footnote>
  <w:footnote w:type="continuationSeparator" w:id="0">
    <w:p w14:paraId="2D613F42" w14:textId="77777777" w:rsidR="002D49F7" w:rsidRDefault="002D49F7" w:rsidP="00475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9BA66" w14:textId="77777777" w:rsidR="0047544C" w:rsidRDefault="00DE6C09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1C1B858" wp14:editId="7FC9C0B0">
              <wp:simplePos x="0" y="0"/>
              <wp:positionH relativeFrom="column">
                <wp:posOffset>678815</wp:posOffset>
              </wp:positionH>
              <wp:positionV relativeFrom="paragraph">
                <wp:posOffset>-59690</wp:posOffset>
              </wp:positionV>
              <wp:extent cx="3506470" cy="59499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6470" cy="594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D83B44" w14:textId="77777777" w:rsidR="0047544C" w:rsidRPr="00DE6C09" w:rsidRDefault="0047544C" w:rsidP="00DE6C09">
                          <w:pPr>
                            <w:pStyle w:val="Encabezado"/>
                            <w:rPr>
                              <w:b/>
                              <w:color w:val="2F5496" w:themeColor="accent5" w:themeShade="BF"/>
                              <w:sz w:val="20"/>
                              <w:szCs w:val="20"/>
                            </w:rPr>
                          </w:pPr>
                          <w:r w:rsidRPr="00DE6C09">
                            <w:rPr>
                              <w:b/>
                              <w:color w:val="2F5496" w:themeColor="accent5" w:themeShade="BF"/>
                              <w:sz w:val="20"/>
                              <w:szCs w:val="20"/>
                            </w:rPr>
                            <w:t>Instituto Nacional de Estadísticas</w:t>
                          </w:r>
                        </w:p>
                        <w:p w14:paraId="72665ECA" w14:textId="77777777" w:rsidR="0047544C" w:rsidRPr="00DE6C09" w:rsidRDefault="0047544C" w:rsidP="00DE6C09">
                          <w:pPr>
                            <w:pStyle w:val="Encabezado"/>
                            <w:rPr>
                              <w:b/>
                              <w:color w:val="2F5496" w:themeColor="accent5" w:themeShade="BF"/>
                              <w:sz w:val="20"/>
                              <w:szCs w:val="20"/>
                            </w:rPr>
                          </w:pPr>
                          <w:r w:rsidRPr="00DE6C09">
                            <w:rPr>
                              <w:b/>
                              <w:color w:val="2F5496" w:themeColor="accent5" w:themeShade="BF"/>
                              <w:sz w:val="20"/>
                              <w:szCs w:val="20"/>
                            </w:rPr>
                            <w:t>Subdirección Técnica</w:t>
                          </w:r>
                        </w:p>
                        <w:p w14:paraId="5C4F6956" w14:textId="77777777" w:rsidR="0047544C" w:rsidRPr="00DE6C09" w:rsidRDefault="00640B6C" w:rsidP="00DE6C09">
                          <w:pPr>
                            <w:pStyle w:val="Encabezado"/>
                            <w:rPr>
                              <w:b/>
                              <w:color w:val="2F5496" w:themeColor="accent5" w:themeShade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2F5496" w:themeColor="accent5" w:themeShade="BF"/>
                              <w:sz w:val="20"/>
                              <w:szCs w:val="20"/>
                            </w:rPr>
                            <w:t>Subdepartamento de Comercio y Servicios</w:t>
                          </w:r>
                        </w:p>
                        <w:p w14:paraId="6D88EF1E" w14:textId="77777777" w:rsidR="0047544C" w:rsidRDefault="0047544C" w:rsidP="0047544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C1B85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3.45pt;margin-top:-4.7pt;width:276.1pt;height:4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" stroked="f">
              <v:textbox>
                <w:txbxContent>
                  <w:p w14:paraId="30D83B44" w14:textId="77777777" w:rsidR="0047544C" w:rsidRPr="00DE6C09" w:rsidRDefault="0047544C" w:rsidP="00DE6C09">
                    <w:pPr>
                      <w:pStyle w:val="Encabezado"/>
                      <w:rPr>
                        <w:b/>
                        <w:color w:val="2F5496" w:themeColor="accent5" w:themeShade="BF"/>
                        <w:sz w:val="20"/>
                        <w:szCs w:val="20"/>
                      </w:rPr>
                    </w:pPr>
                    <w:r w:rsidRPr="00DE6C09">
                      <w:rPr>
                        <w:b/>
                        <w:color w:val="2F5496" w:themeColor="accent5" w:themeShade="BF"/>
                        <w:sz w:val="20"/>
                        <w:szCs w:val="20"/>
                      </w:rPr>
                      <w:t>Instituto Nacional de Estadísticas</w:t>
                    </w:r>
                  </w:p>
                  <w:p w14:paraId="72665ECA" w14:textId="77777777" w:rsidR="0047544C" w:rsidRPr="00DE6C09" w:rsidRDefault="0047544C" w:rsidP="00DE6C09">
                    <w:pPr>
                      <w:pStyle w:val="Encabezado"/>
                      <w:rPr>
                        <w:b/>
                        <w:color w:val="2F5496" w:themeColor="accent5" w:themeShade="BF"/>
                        <w:sz w:val="20"/>
                        <w:szCs w:val="20"/>
                      </w:rPr>
                    </w:pPr>
                    <w:r w:rsidRPr="00DE6C09">
                      <w:rPr>
                        <w:b/>
                        <w:color w:val="2F5496" w:themeColor="accent5" w:themeShade="BF"/>
                        <w:sz w:val="20"/>
                        <w:szCs w:val="20"/>
                      </w:rPr>
                      <w:t>Subdirección Técnica</w:t>
                    </w:r>
                  </w:p>
                  <w:p w14:paraId="5C4F6956" w14:textId="77777777" w:rsidR="0047544C" w:rsidRPr="00DE6C09" w:rsidRDefault="00640B6C" w:rsidP="00DE6C09">
                    <w:pPr>
                      <w:pStyle w:val="Encabezado"/>
                      <w:rPr>
                        <w:b/>
                        <w:color w:val="2F5496" w:themeColor="accent5" w:themeShade="BF"/>
                        <w:sz w:val="20"/>
                        <w:szCs w:val="20"/>
                      </w:rPr>
                    </w:pPr>
                    <w:r>
                      <w:rPr>
                        <w:b/>
                        <w:color w:val="2F5496" w:themeColor="accent5" w:themeShade="BF"/>
                        <w:sz w:val="20"/>
                        <w:szCs w:val="20"/>
                      </w:rPr>
                      <w:t>Subdepartamento de Comercio y Servicios</w:t>
                    </w:r>
                  </w:p>
                  <w:p w14:paraId="6D88EF1E" w14:textId="77777777" w:rsidR="0047544C" w:rsidRDefault="0047544C" w:rsidP="0047544C"/>
                </w:txbxContent>
              </v:textbox>
              <w10:wrap type="square"/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79F20D08" wp14:editId="55EAEECE">
          <wp:simplePos x="0" y="0"/>
          <wp:positionH relativeFrom="column">
            <wp:posOffset>-166370</wp:posOffset>
          </wp:positionH>
          <wp:positionV relativeFrom="paragraph">
            <wp:posOffset>-213360</wp:posOffset>
          </wp:positionV>
          <wp:extent cx="836295" cy="800100"/>
          <wp:effectExtent l="0" t="0" r="190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295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6C09">
      <w:rPr>
        <w:rFonts w:ascii="Times New Roman" w:hAnsi="Times New Roman" w:cs="Times New Roman"/>
        <w:sz w:val="24"/>
        <w:szCs w:val="24"/>
      </w:rPr>
      <w:t xml:space="preserve"> </w:t>
    </w:r>
  </w:p>
  <w:p w14:paraId="67F0C7D9" w14:textId="77777777" w:rsidR="00DE6C09" w:rsidRDefault="00DE6C09">
    <w:pPr>
      <w:pStyle w:val="Encabezado"/>
      <w:rPr>
        <w:rFonts w:ascii="Times New Roman" w:hAnsi="Times New Roman" w:cs="Times New Roman"/>
        <w:sz w:val="24"/>
        <w:szCs w:val="24"/>
      </w:rPr>
    </w:pPr>
  </w:p>
  <w:p w14:paraId="1B2FC625" w14:textId="77777777" w:rsidR="00DE6C09" w:rsidRDefault="00DE6C09">
    <w:pPr>
      <w:pStyle w:val="Encabezado"/>
      <w:rPr>
        <w:rFonts w:ascii="Times New Roman" w:hAnsi="Times New Roman" w:cs="Times New Roman"/>
        <w:sz w:val="24"/>
        <w:szCs w:val="24"/>
      </w:rPr>
    </w:pPr>
  </w:p>
  <w:p w14:paraId="12D14C04" w14:textId="77777777" w:rsidR="00DE6C09" w:rsidRDefault="00DE6C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FD8"/>
    <w:multiLevelType w:val="hybridMultilevel"/>
    <w:tmpl w:val="1012EA38"/>
    <w:lvl w:ilvl="0" w:tplc="7F489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D5CF0"/>
    <w:multiLevelType w:val="hybridMultilevel"/>
    <w:tmpl w:val="37A057A0"/>
    <w:lvl w:ilvl="0" w:tplc="B49C5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F42B9"/>
    <w:multiLevelType w:val="hybridMultilevel"/>
    <w:tmpl w:val="CEF4F5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204C"/>
    <w:multiLevelType w:val="hybridMultilevel"/>
    <w:tmpl w:val="7586FC8A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BB20FC"/>
    <w:multiLevelType w:val="hybridMultilevel"/>
    <w:tmpl w:val="AFBAF942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F73A0"/>
    <w:multiLevelType w:val="hybridMultilevel"/>
    <w:tmpl w:val="1ABCE46C"/>
    <w:lvl w:ilvl="0" w:tplc="EA1CE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22117A"/>
    <w:multiLevelType w:val="hybridMultilevel"/>
    <w:tmpl w:val="7586FC8A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577DB9"/>
    <w:multiLevelType w:val="hybridMultilevel"/>
    <w:tmpl w:val="08B08C1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4269C"/>
    <w:multiLevelType w:val="hybridMultilevel"/>
    <w:tmpl w:val="B04846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94D16"/>
    <w:multiLevelType w:val="hybridMultilevel"/>
    <w:tmpl w:val="92BE247A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10B"/>
    <w:rsid w:val="000718B8"/>
    <w:rsid w:val="001F23BE"/>
    <w:rsid w:val="00240ABA"/>
    <w:rsid w:val="002D49F7"/>
    <w:rsid w:val="00301655"/>
    <w:rsid w:val="0033274E"/>
    <w:rsid w:val="00367495"/>
    <w:rsid w:val="003907E3"/>
    <w:rsid w:val="003B0F6F"/>
    <w:rsid w:val="003B7B9A"/>
    <w:rsid w:val="003D2493"/>
    <w:rsid w:val="00455574"/>
    <w:rsid w:val="00466088"/>
    <w:rsid w:val="0047544C"/>
    <w:rsid w:val="00490313"/>
    <w:rsid w:val="005061E0"/>
    <w:rsid w:val="005320B5"/>
    <w:rsid w:val="0057448D"/>
    <w:rsid w:val="00607BC9"/>
    <w:rsid w:val="00627D32"/>
    <w:rsid w:val="00631CF0"/>
    <w:rsid w:val="00640B6C"/>
    <w:rsid w:val="006550C1"/>
    <w:rsid w:val="00655E73"/>
    <w:rsid w:val="006679C1"/>
    <w:rsid w:val="00681A18"/>
    <w:rsid w:val="00681A93"/>
    <w:rsid w:val="00692115"/>
    <w:rsid w:val="00696564"/>
    <w:rsid w:val="0069686A"/>
    <w:rsid w:val="006A70DD"/>
    <w:rsid w:val="006B40A4"/>
    <w:rsid w:val="00784AE0"/>
    <w:rsid w:val="0080070C"/>
    <w:rsid w:val="00803F38"/>
    <w:rsid w:val="00831A2A"/>
    <w:rsid w:val="00877880"/>
    <w:rsid w:val="008B59C8"/>
    <w:rsid w:val="0092316A"/>
    <w:rsid w:val="0094210B"/>
    <w:rsid w:val="0098122D"/>
    <w:rsid w:val="00987037"/>
    <w:rsid w:val="009A22E6"/>
    <w:rsid w:val="009A3527"/>
    <w:rsid w:val="009A7F01"/>
    <w:rsid w:val="00A23266"/>
    <w:rsid w:val="00A42E75"/>
    <w:rsid w:val="00A530ED"/>
    <w:rsid w:val="00A5733A"/>
    <w:rsid w:val="00A758F2"/>
    <w:rsid w:val="00AC41C6"/>
    <w:rsid w:val="00AD7D52"/>
    <w:rsid w:val="00AE01DE"/>
    <w:rsid w:val="00AE15C8"/>
    <w:rsid w:val="00B17138"/>
    <w:rsid w:val="00B34E9A"/>
    <w:rsid w:val="00C12358"/>
    <w:rsid w:val="00C22F5F"/>
    <w:rsid w:val="00CB5F1D"/>
    <w:rsid w:val="00CC06F9"/>
    <w:rsid w:val="00CD5D7A"/>
    <w:rsid w:val="00CF3C38"/>
    <w:rsid w:val="00D37F81"/>
    <w:rsid w:val="00D76AFC"/>
    <w:rsid w:val="00DD4DA5"/>
    <w:rsid w:val="00DE6C09"/>
    <w:rsid w:val="00E03F59"/>
    <w:rsid w:val="00E140DD"/>
    <w:rsid w:val="00E46FB7"/>
    <w:rsid w:val="00E5426F"/>
    <w:rsid w:val="00E60B96"/>
    <w:rsid w:val="00EB4F70"/>
    <w:rsid w:val="00EB655C"/>
    <w:rsid w:val="00F43D1F"/>
    <w:rsid w:val="00F5678A"/>
    <w:rsid w:val="00FC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DB732"/>
  <w15:docId w15:val="{B0FE6396-25F6-4913-AAA1-72FD64E9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50C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50C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550C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B5F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B5F1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B5F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5F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5F1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5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F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54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44C"/>
  </w:style>
  <w:style w:type="paragraph" w:styleId="Piedepgina">
    <w:name w:val="footer"/>
    <w:basedOn w:val="Normal"/>
    <w:link w:val="PiedepginaCar"/>
    <w:uiPriority w:val="99"/>
    <w:unhideWhenUsed/>
    <w:rsid w:val="004754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44C"/>
  </w:style>
  <w:style w:type="paragraph" w:styleId="Descripcin">
    <w:name w:val="caption"/>
    <w:basedOn w:val="Normal"/>
    <w:next w:val="Normal"/>
    <w:uiPriority w:val="35"/>
    <w:unhideWhenUsed/>
    <w:qFormat/>
    <w:rsid w:val="00C22F5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34E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4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claverom@ine.gob.c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imescobarp@ine.gob.c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67F419-4A15-7243-A2FF-826A9C37A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1314</Words>
  <Characters>7231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Escobar Portillo</dc:creator>
  <cp:lastModifiedBy>5911</cp:lastModifiedBy>
  <cp:revision>9</cp:revision>
  <dcterms:created xsi:type="dcterms:W3CDTF">2021-04-16T00:49:00Z</dcterms:created>
  <dcterms:modified xsi:type="dcterms:W3CDTF">2021-04-16T15:18:00Z</dcterms:modified>
</cp:coreProperties>
</file>