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80"/>
        <w:jc w:val="center"/>
      </w:pPr>
      <w:r>
        <w:rPr>
          <w:rFonts w:ascii="Arial" w:cs="Arial" w:eastAsia="Arial" w:hAnsi="Arial"/>
          <w:b/>
          <w:bCs/>
          <w:color w:val="1B3A5C"/>
          <w:sz w:val="44"/>
          <w:szCs w:val="44"/>
        </w:rPr>
        <w:t xml:space="preserve">ASYGNUZ S.A.S.</w:t>
      </w:r>
    </w:p>
    <w:p>
      <w:pPr>
        <w:spacing w:before="0" w:after="160"/>
        <w:jc w:val="center"/>
      </w:pPr>
      <w:r>
        <w:rPr>
          <w:rFonts w:ascii="Arial" w:cs="Arial" w:eastAsia="Arial" w:hAnsi="Arial"/>
          <w:i/>
          <w:iCs/>
          <w:color w:val="888888"/>
          <w:sz w:val="22"/>
          <w:szCs w:val="22"/>
        </w:rPr>
        <w:t xml:space="preserve">presenta</w:t>
      </w:r>
    </w:p>
    <w:p>
      <w:pPr>
        <w:spacing w:before="0" w:after="240"/>
        <w:jc w:val="center"/>
      </w:pPr>
      <w:r>
        <w:rPr>
          <w:rFonts w:ascii="Arial" w:cs="Arial" w:eastAsia="Arial" w:hAnsi="Arial"/>
          <w:b/>
          <w:bCs/>
          <w:color w:val="2E4A6B"/>
          <w:sz w:val="40"/>
          <w:szCs w:val="40"/>
        </w:rPr>
        <w:t xml:space="preserve">MÉTODO A.S.C.E.N.D. by Asygnuz</w:t>
      </w:r>
    </w:p>
    <w:p>
      <w:pPr>
        <w:spacing w:before="0" w:after="480"/>
        <w:jc w:val="center"/>
      </w:pPr>
      <w:r>
        <w:rPr>
          <w:rFonts w:ascii="Arial" w:cs="Arial" w:eastAsia="Arial" w:hAnsi="Arial"/>
          <w:color w:val="444444"/>
          <w:sz w:val="26"/>
          <w:szCs w:val="26"/>
        </w:rPr>
        <w:t xml:space="preserve">Programa de Transformación Digital y Construcción de Agencia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Para: Claudia Uribe — Confidencial</w:t>
            </w:r>
          </w:p>
        </w:tc>
      </w:tr>
    </w:tbl>
    <w:p>
      <w:pPr>
        <w:spacing w:before="80" w:after="80"/>
      </w:pPr>
      <w:r>
        <w:t xml:space="preserve"/>
      </w:r>
    </w:p>
    <w:p>
      <w:pPr>
        <w:spacing w:before="200" w:after="100"/>
        <w:jc w:val="center"/>
      </w:pPr>
      <w:r>
        <w:rPr>
          <w:rFonts w:ascii="Arial" w:cs="Arial" w:eastAsia="Arial" w:hAnsi="Arial"/>
          <w:color w:val="888888"/>
          <w:sz w:val="20"/>
          <w:szCs w:val="20"/>
        </w:rPr>
        <w:t xml:space="preserve">Versión 1.0 — Propuesta Refinada</w:t>
      </w:r>
    </w:p>
    <w:p>
      <w:pPr>
        <w:jc w:val="center"/>
      </w:pPr>
      <w:r>
        <w:rPr>
          <w:rFonts w:ascii="Arial" w:cs="Arial" w:eastAsia="Arial" w:hAnsi="Arial"/>
          <w:color w:val="888888"/>
          <w:sz w:val="20"/>
          <w:szCs w:val="20"/>
        </w:rPr>
        <w:t xml:space="preserve">Marzo 2026  —  Manizales, Colombia</w:t>
      </w:r>
    </w:p>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RESUMEN EJECUTIVO</w:t>
      </w:r>
    </w:p>
    <w:p>
      <w:pPr>
        <w:spacing w:before="60" w:after="200"/>
      </w:pPr>
      <w:r>
        <w:rPr>
          <w:rFonts w:ascii="Arial" w:cs="Arial" w:eastAsia="Arial" w:hAnsi="Arial"/>
          <w:b/>
          <w:bCs/>
          <w:i/>
          <w:iCs/>
          <w:color w:val="888888"/>
          <w:sz w:val="19"/>
          <w:szCs w:val="19"/>
        </w:rPr>
        <w:t xml:space="preserve">Situation — Complication — Resolution  |  Metodología McKinsey / BCG</w:t>
      </w:r>
    </w:p>
    <w:p>
      <w:pPr>
        <w:spacing w:before="80" w:after="80"/>
      </w:pPr>
      <w:r>
        <w:t xml:space="preserve"/>
      </w:r>
    </w:p>
    <w:p>
      <w:pPr>
        <w:pStyle w:val="Heading3"/>
        <w:spacing w:before="220" w:after="100"/>
      </w:pPr>
      <w:r>
        <w:rPr>
          <w:rFonts w:ascii="Arial" w:cs="Arial" w:eastAsia="Arial" w:hAnsi="Arial"/>
          <w:b/>
          <w:bCs/>
          <w:color w:val="444444"/>
          <w:sz w:val="22"/>
          <w:szCs w:val="22"/>
        </w:rPr>
        <w:t xml:space="preserve">SITUATION — La realidad actual</w:t>
      </w:r>
    </w:p>
    <w:p>
      <w:pPr>
        <w:spacing w:before="80" w:after="120"/>
      </w:pPr>
      <w:r>
        <w:rPr>
          <w:rFonts w:ascii="Arial" w:cs="Arial" w:eastAsia="Arial" w:hAnsi="Arial"/>
          <w:sz w:val="22"/>
          <w:szCs w:val="22"/>
        </w:rPr>
        <w:t xml:space="preserve">Claudia Uribe es una de las marcas personales de educación financiera más relevantes del mercado hispanohablante: 450,000 seguidores validados en Instagram, producto high ticket de $3,500 USD con demanda demostrada, 43 coaches formados y presencia activa en 31 países. En los primeros 20 días de colaboración con Asygnuz, se construyeron dos landing pages de alta conversión, se activó un stack de 6 integraciones tecnológicas y se generaron 797 usuarios únicos, 18 leads calificados y múltiples reservas de asesoría, todo sin inversión en pauta.</w:t>
      </w:r>
    </w:p>
    <w:p>
      <w:pPr>
        <w:spacing w:before="80" w:after="80"/>
      </w:pPr>
      <w:r>
        <w:t xml:space="preserve"/>
      </w:r>
    </w:p>
    <w:p>
      <w:pPr>
        <w:pStyle w:val="Heading3"/>
        <w:spacing w:before="220" w:after="100"/>
      </w:pPr>
      <w:r>
        <w:rPr>
          <w:rFonts w:ascii="Arial" w:cs="Arial" w:eastAsia="Arial" w:hAnsi="Arial"/>
          <w:b/>
          <w:bCs/>
          <w:color w:val="444444"/>
          <w:sz w:val="22"/>
          <w:szCs w:val="22"/>
        </w:rPr>
        <w:t xml:space="preserve">COMPLICATION — La paradoja que frena el siguiente nivel</w:t>
      </w:r>
    </w:p>
    <w:p>
      <w:pPr>
        <w:spacing w:before="80" w:after="120"/>
      </w:pPr>
      <w:r>
        <w:rPr>
          <w:rFonts w:ascii="Arial" w:cs="Arial" w:eastAsia="Arial" w:hAnsi="Arial"/>
          <w:sz w:val="22"/>
          <w:szCs w:val="22"/>
        </w:rPr>
        <w:t xml:space="preserve">El Método Vórtex enseña que invertir sin estructura es improvisación. Actualmente, la empresa de Claudia vive esa paradoja: enseña orden financiero al mundo, pero opera sobre un ensamblaje digital frágil. Su asesor de gobierno corporativo, César Miguel Mendoza García, lo nombró con precisión en la reunión del 5 de marzo: 'ensamblaje frágil'. Asygnuz lo denomina Fragilidad Digital Estructural. El antecedente es real y reciente: una agencia anterior se llevó datos de clientes, herramientas y proyectos al retirarse. La operación quedó paralizada. Con el volumen actual, ese evento tendría un costo 3 a 5 veces mayor.</w:t>
      </w:r>
    </w:p>
    <w:p>
      <w:pPr>
        <w:spacing w:before="80" w:after="80"/>
      </w:pPr>
      <w:r>
        <w:t xml:space="preserve"/>
      </w:r>
    </w:p>
    <w:p>
      <w:pPr>
        <w:pStyle w:val="Heading3"/>
        <w:spacing w:before="220" w:after="100"/>
      </w:pPr>
      <w:r>
        <w:rPr>
          <w:rFonts w:ascii="Arial" w:cs="Arial" w:eastAsia="Arial" w:hAnsi="Arial"/>
          <w:b/>
          <w:bCs/>
          <w:color w:val="444444"/>
          <w:sz w:val="22"/>
          <w:szCs w:val="22"/>
        </w:rPr>
        <w:t xml:space="preserve">RESOLUTION — La solución inevitable</w:t>
      </w:r>
    </w:p>
    <w:p>
      <w:pPr>
        <w:spacing w:before="80" w:after="120"/>
      </w:pPr>
      <w:r>
        <w:rPr>
          <w:rFonts w:ascii="Arial" w:cs="Arial" w:eastAsia="Arial" w:hAnsi="Arial"/>
          <w:sz w:val="22"/>
          <w:szCs w:val="22"/>
        </w:rPr>
        <w:t xml:space="preserve">Asygnuz implementa el Método A.S.C.E.N.D. bajo el modelo Build-Operate-Transfer 2.0, el mismo marco que BCG utilizó para construir capacidades digitales propias en organizaciones de alto crecimiento, adaptado a la visión y escala de Claudia. El resultado en 18 meses: su propia agencia interna operando, su stack soberano, su equipo contratado, sus procesos documentados, y Asygnuz como consejo asesor estratégico. El movimiento financiero de Claudia en LATAM tendrá la infraestructura que merece.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200"/>
              <w:left w:type="dxa" w:w="280"/>
              <w:bottom w:type="dxa" w:w="200"/>
              <w:right w:type="dxa" w:w="280"/>
            </w:tcMar>
          </w:tcPr>
          <w:p>
            <w:pPr>
              <w:spacing w:before="40" w:after="40"/>
            </w:pPr>
            <w:r>
              <w:rPr>
                <w:rFonts w:ascii="Arial" w:cs="Arial" w:eastAsia="Arial" w:hAnsi="Arial"/>
                <w:b w:val="false"/>
                <w:bCs w:val="false"/>
                <w:i/>
                <w:iCs/>
                <w:color w:val="1B3A5C"/>
                <w:sz w:val="22"/>
                <w:szCs w:val="22"/>
              </w:rPr>
              <w:t xml:space="preserve">'No venimos a ser tu agencia. Venimos a construir la tuya, para que la rebelión financiera que estás liderando en LATAM tenga la infraestructura que ningún movimiento de esta magnitud puede permitirse no tener.'</w:t>
            </w:r>
          </w:p>
        </w:tc>
      </w:tr>
    </w:tbl>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I — PROOF OF CONCEPT</w:t>
      </w:r>
    </w:p>
    <w:p>
      <w:pPr>
        <w:spacing w:before="60" w:after="200"/>
      </w:pPr>
      <w:r>
        <w:rPr>
          <w:rFonts w:ascii="Arial" w:cs="Arial" w:eastAsia="Arial" w:hAnsi="Arial"/>
          <w:b/>
          <w:bCs/>
          <w:i/>
          <w:iCs/>
          <w:color w:val="2E4A6B"/>
          <w:sz w:val="24"/>
          <w:szCs w:val="24"/>
        </w:rPr>
        <w:t xml:space="preserve">Lo que ya construimos juntos: 20 días, resultados reales</w:t>
      </w:r>
    </w:p>
    <w:p>
      <w:pPr>
        <w:spacing w:before="80" w:after="120"/>
      </w:pPr>
      <w:r>
        <w:rPr>
          <w:rFonts w:ascii="Arial" w:cs="Arial" w:eastAsia="Arial" w:hAnsi="Arial"/>
          <w:sz w:val="22"/>
          <w:szCs w:val="22"/>
        </w:rPr>
        <w:t xml:space="preserve">Las transformaciones corporativas no se prometen: se demuestran. Antes de cualquier propuesta económica, hay datos. En los primeros 20 días de colaboración, Asygnuz construyó, integró y activó desde cero una infraestructura funcional para el negocio de Claudia. Estos no son proyecciones: son resultados verificables sobre el negocio real de Claudia, sin inversión en pauta.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797</w:t>
            </w:r>
          </w:p>
          <w:p>
            <w:pPr>
              <w:jc w:val="center"/>
            </w:pPr>
            <w:r>
              <w:rPr>
                <w:rFonts w:ascii="Arial" w:cs="Arial" w:eastAsia="Arial" w:hAnsi="Arial"/>
                <w:color w:val="555555"/>
                <w:sz w:val="18"/>
                <w:szCs w:val="18"/>
              </w:rPr>
              <w:t xml:space="preserve">usuarios totales</w:t>
            </w:r>
          </w:p>
        </w:tc>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18</w:t>
            </w:r>
          </w:p>
          <w:p>
            <w:pPr>
              <w:jc w:val="center"/>
            </w:pPr>
            <w:r>
              <w:rPr>
                <w:rFonts w:ascii="Arial" w:cs="Arial" w:eastAsia="Arial" w:hAnsi="Arial"/>
                <w:color w:val="555555"/>
                <w:sz w:val="18"/>
                <w:szCs w:val="18"/>
              </w:rPr>
              <w:t xml:space="preserve">leads generados</w:t>
            </w:r>
          </w:p>
        </w:tc>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31</w:t>
            </w:r>
          </w:p>
          <w:p>
            <w:pPr>
              <w:jc w:val="center"/>
            </w:pPr>
            <w:r>
              <w:rPr>
                <w:rFonts w:ascii="Arial" w:cs="Arial" w:eastAsia="Arial" w:hAnsi="Arial"/>
                <w:color w:val="555555"/>
                <w:sz w:val="18"/>
                <w:szCs w:val="18"/>
              </w:rPr>
              <w:t xml:space="preserve">países alcanzados</w:t>
            </w:r>
          </w:p>
        </w:tc>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44%</w:t>
            </w:r>
          </w:p>
          <w:p>
            <w:pPr>
              <w:jc w:val="center"/>
            </w:pPr>
            <w:r>
              <w:rPr>
                <w:rFonts w:ascii="Arial" w:cs="Arial" w:eastAsia="Arial" w:hAnsi="Arial"/>
                <w:color w:val="555555"/>
                <w:sz w:val="18"/>
                <w:szCs w:val="18"/>
              </w:rPr>
              <w:t xml:space="preserve">inicio de formulario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1,157</w:t>
            </w:r>
          </w:p>
          <w:p>
            <w:pPr>
              <w:jc w:val="center"/>
            </w:pPr>
            <w:r>
              <w:rPr>
                <w:rFonts w:ascii="Arial" w:cs="Arial" w:eastAsia="Arial" w:hAnsi="Arial"/>
                <w:color w:val="555555"/>
                <w:sz w:val="18"/>
                <w:szCs w:val="18"/>
              </w:rPr>
              <w:t xml:space="preserve">sesiones totales</w:t>
            </w:r>
          </w:p>
        </w:tc>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22</w:t>
            </w:r>
          </w:p>
          <w:p>
            <w:pPr>
              <w:jc w:val="center"/>
            </w:pPr>
            <w:r>
              <w:rPr>
                <w:rFonts w:ascii="Arial" w:cs="Arial" w:eastAsia="Arial" w:hAnsi="Arial"/>
                <w:color w:val="555555"/>
                <w:sz w:val="18"/>
                <w:szCs w:val="18"/>
              </w:rPr>
              <w:t xml:space="preserve">reservas registradas</w:t>
            </w:r>
          </w:p>
        </w:tc>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6</w:t>
            </w:r>
          </w:p>
          <w:p>
            <w:pPr>
              <w:jc w:val="center"/>
            </w:pPr>
            <w:r>
              <w:rPr>
                <w:rFonts w:ascii="Arial" w:cs="Arial" w:eastAsia="Arial" w:hAnsi="Arial"/>
                <w:color w:val="555555"/>
                <w:sz w:val="18"/>
                <w:szCs w:val="18"/>
              </w:rPr>
              <w:t xml:space="preserve">integraciones activas</w:t>
            </w:r>
          </w:p>
        </w:tc>
        <w:tc>
          <w:tcPr>
            <w:tcW w:type="dxa" w:w="2340"/>
            <w:tcBorders>
              <w:top w:val="single" w:color="CCCCCC" w:sz="1"/>
              <w:left w:val="single" w:color="CCCCCC" w:sz="1"/>
              <w:bottom w:val="single" w:color="CCCCCC" w:sz="1"/>
              <w:right w:val="single" w:color="CCCCCC" w:sz="1"/>
            </w:tcBorders>
            <w:shd w:fill="F0F7FF" w:val="clear"/>
            <w:tcMar>
              <w:top w:type="dxa" w:w="120"/>
              <w:left w:type="dxa" w:w="120"/>
              <w:bottom w:type="dxa" w:w="120"/>
              <w:right w:type="dxa" w:w="120"/>
            </w:tcMar>
          </w:tcPr>
          <w:p>
            <w:pPr>
              <w:jc w:val="center"/>
            </w:pPr>
            <w:r>
              <w:rPr>
                <w:rFonts w:ascii="Arial" w:cs="Arial" w:eastAsia="Arial" w:hAnsi="Arial"/>
                <w:b/>
                <w:bCs/>
                <w:color w:val="1B3A5C"/>
                <w:sz w:val="40"/>
                <w:szCs w:val="40"/>
              </w:rPr>
              <w:t xml:space="preserve">2</w:t>
            </w:r>
          </w:p>
          <w:p>
            <w:pPr>
              <w:jc w:val="center"/>
            </w:pPr>
            <w:r>
              <w:rPr>
                <w:rFonts w:ascii="Arial" w:cs="Arial" w:eastAsia="Arial" w:hAnsi="Arial"/>
                <w:color w:val="555555"/>
                <w:sz w:val="18"/>
                <w:szCs w:val="18"/>
              </w:rPr>
              <w:t xml:space="preserve">landing pages live</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Logros técnicos del período</w:t>
      </w:r>
    </w:p>
    <w:p>
      <w:pPr>
        <w:pStyle w:val="ListParagraph"/>
        <w:numPr>
          <w:ilvl w:val="0"/>
          <w:numId w:val="2"/>
        </w:numPr>
        <w:spacing w:before="60" w:after="60"/>
      </w:pPr>
      <w:r>
        <w:rPr>
          <w:rFonts w:ascii="Arial" w:cs="Arial" w:eastAsia="Arial" w:hAnsi="Arial"/>
          <w:sz w:val="22"/>
          <w:szCs w:val="22"/>
        </w:rPr>
        <w:t xml:space="preserve">2 landing pages diseñadas, desarrolladas y publicadas: Asesoría Gratuita y Money Training.</w:t>
      </w:r>
    </w:p>
    <w:p>
      <w:pPr>
        <w:pStyle w:val="ListParagraph"/>
        <w:numPr>
          <w:ilvl w:val="0"/>
          <w:numId w:val="2"/>
        </w:numPr>
        <w:spacing w:before="60" w:after="60"/>
      </w:pPr>
      <w:r>
        <w:rPr>
          <w:rFonts w:ascii="Arial" w:cs="Arial" w:eastAsia="Arial" w:hAnsi="Arial"/>
          <w:sz w:val="22"/>
          <w:szCs w:val="22"/>
        </w:rPr>
        <w:t xml:space="preserve">Stack de 6 integraciones activas: CRM Clint + Google Calendar + Meta Pixel + UTMs + GA4 + SendGrid.</w:t>
      </w:r>
    </w:p>
    <w:p>
      <w:pPr>
        <w:pStyle w:val="ListParagraph"/>
        <w:numPr>
          <w:ilvl w:val="0"/>
          <w:numId w:val="2"/>
        </w:numPr>
        <w:spacing w:before="60" w:after="60"/>
      </w:pPr>
      <w:r>
        <w:rPr>
          <w:rFonts w:ascii="Arial" w:cs="Arial" w:eastAsia="Arial" w:hAnsi="Arial"/>
          <w:sz w:val="22"/>
          <w:szCs w:val="22"/>
        </w:rPr>
        <w:t xml:space="preserve">Performance scores: 76.7/100 y 78.1/100. LCP 4.4s y 3.99s (en optimización activa hacia &lt;2.5s).</w:t>
      </w:r>
    </w:p>
    <w:p>
      <w:pPr>
        <w:pStyle w:val="ListParagraph"/>
        <w:numPr>
          <w:ilvl w:val="0"/>
          <w:numId w:val="2"/>
        </w:numPr>
        <w:spacing w:before="60" w:after="60"/>
      </w:pPr>
      <w:r>
        <w:rPr>
          <w:rFonts w:ascii="Arial" w:cs="Arial" w:eastAsia="Arial" w:hAnsi="Arial"/>
          <w:sz w:val="22"/>
          <w:szCs w:val="22"/>
        </w:rPr>
        <w:t xml:space="preserve">81% del tráfico de Asesoría proviene de Instagram. El canal orgánico está completamente validado.</w:t>
      </w:r>
    </w:p>
    <w:p>
      <w:pPr>
        <w:pStyle w:val="ListParagraph"/>
        <w:numPr>
          <w:ilvl w:val="0"/>
          <w:numId w:val="2"/>
        </w:numPr>
        <w:spacing w:before="60" w:after="60"/>
      </w:pPr>
      <w:r>
        <w:rPr>
          <w:rFonts w:ascii="Arial" w:cs="Arial" w:eastAsia="Arial" w:hAnsi="Arial"/>
          <w:sz w:val="22"/>
          <w:szCs w:val="22"/>
        </w:rPr>
        <w:t xml:space="preserve">5 pilares de estrategia orgánica definidos y listos para activación.</w:t>
      </w:r>
    </w:p>
    <w:p>
      <w:pPr>
        <w:pStyle w:val="ListParagraph"/>
        <w:numPr>
          <w:ilvl w:val="0"/>
          <w:numId w:val="2"/>
        </w:numPr>
        <w:spacing w:before="60" w:after="60"/>
      </w:pPr>
      <w:r>
        <w:rPr>
          <w:rFonts w:ascii="Arial" w:cs="Arial" w:eastAsia="Arial" w:hAnsi="Arial"/>
          <w:sz w:val="22"/>
          <w:szCs w:val="22"/>
        </w:rPr>
        <w:t xml:space="preserve">Investigación de perfil de la marca completada (metodología Cracks FACTORi + Escalads).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8" w:val="clear"/>
            <w:tcMar>
              <w:top w:type="dxa" w:w="200"/>
              <w:left w:type="dxa" w:w="280"/>
              <w:bottom w:type="dxa" w:w="200"/>
              <w:right w:type="dxa" w:w="280"/>
            </w:tcMar>
          </w:tcPr>
          <w:p>
            <w:pPr>
              <w:spacing w:before="40" w:after="40"/>
            </w:pPr>
            <w:r>
              <w:rPr>
                <w:rFonts w:ascii="Arial" w:cs="Arial" w:eastAsia="Arial" w:hAnsi="Arial"/>
                <w:b w:val="false"/>
                <w:bCs w:val="false"/>
                <w:i/>
                <w:iCs/>
                <w:color w:val="1A5C2E"/>
                <w:sz w:val="22"/>
                <w:szCs w:val="22"/>
              </w:rPr>
              <w:t xml:space="preserve">Mensaje implícito: esto ya empezó. No es una propuesta de lo que haremos. Es la formalización de un programa que ya está generando resultados sobre el negocio real de Claudia.</w:t>
            </w:r>
          </w:p>
        </w:tc>
      </w:tr>
    </w:tbl>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II — DIAGNÓSTICO ESTRATÉGICO</w:t>
      </w:r>
    </w:p>
    <w:p>
      <w:pPr>
        <w:spacing w:before="60" w:after="200"/>
      </w:pPr>
      <w:r>
        <w:rPr>
          <w:rFonts w:ascii="Arial" w:cs="Arial" w:eastAsia="Arial" w:hAnsi="Arial"/>
          <w:b/>
          <w:bCs/>
          <w:i/>
          <w:iCs/>
          <w:color w:val="2E4A6B"/>
          <w:sz w:val="24"/>
          <w:szCs w:val="24"/>
        </w:rPr>
        <w:t xml:space="preserve">La paradoja que el movimiento no puede permitirse ignorar</w:t>
      </w:r>
    </w:p>
    <w:p>
      <w:pPr>
        <w:pStyle w:val="Heading2"/>
        <w:spacing w:before="300" w:after="150"/>
      </w:pPr>
      <w:r>
        <w:rPr>
          <w:rFonts w:ascii="Arial" w:cs="Arial" w:eastAsia="Arial" w:hAnsi="Arial"/>
          <w:b/>
          <w:bCs/>
          <w:color w:val="2E4A6B"/>
          <w:sz w:val="26"/>
          <w:szCs w:val="26"/>
        </w:rPr>
        <w:t xml:space="preserve">La Paradoja Estratégica</w:t>
      </w:r>
    </w:p>
    <w:p>
      <w:pPr>
        <w:spacing w:before="80" w:after="120"/>
      </w:pPr>
      <w:r>
        <w:rPr>
          <w:rFonts w:ascii="Arial" w:cs="Arial" w:eastAsia="Arial" w:hAnsi="Arial"/>
          <w:sz w:val="22"/>
          <w:szCs w:val="22"/>
        </w:rPr>
        <w:t xml:space="preserve">Existe una contradicción en el corazón del negocio de Claudia que no puede seguir sin resolverse: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 QUE CLAUDIA ENSEÑA</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 QUE LA EMPRESA DE CLAUDIA VIVE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'Invertir sin estructura es improvisación'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La infraestructura digital opera sin arquitectura formal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'Reserva de Oxígeno: protección ante imprevistos'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Los datos no tienen backup estructurado ni soberanía garantizada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plan financiero es el mapa'</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 existe un sistema operativo digital que integre el negocio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se salta ningún paso'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El crecimiento saltó pasos estructurales críticos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'Tu método no debe depender de tu figura'</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La operación colapsa si Claudia no está presente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200"/>
              <w:left w:type="dxa" w:w="280"/>
              <w:bottom w:type="dxa" w:w="200"/>
              <w:right w:type="dxa" w:w="280"/>
            </w:tcMar>
          </w:tcPr>
          <w:p>
            <w:pPr>
              <w:spacing w:before="40" w:after="40"/>
            </w:pPr>
            <w:r>
              <w:rPr>
                <w:rFonts w:ascii="Arial" w:cs="Arial" w:eastAsia="Arial" w:hAnsi="Arial"/>
                <w:b w:val="false"/>
                <w:bCs w:val="false"/>
                <w:i/>
                <w:iCs/>
                <w:color w:val="7A4800"/>
                <w:sz w:val="22"/>
                <w:szCs w:val="22"/>
              </w:rPr>
              <w:t xml:space="preserve">Esta paradoja no es una crítica: es la oportunidad más poderosa del negocio. Resolverla hace que Claudia sea completamente coherente con lo que enseña, no solo al mundo financiero, sino también a sí misma como empresaria.</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Diagnóstico: Fragilidad Digital Estructural</w:t>
      </w:r>
    </w:p>
    <w:p>
      <w:pPr>
        <w:spacing w:before="80" w:after="120"/>
      </w:pPr>
      <w:r>
        <w:rPr>
          <w:rFonts w:ascii="Arial" w:cs="Arial" w:eastAsia="Arial" w:hAnsi="Arial"/>
          <w:sz w:val="22"/>
          <w:szCs w:val="22"/>
        </w:rPr>
        <w:t xml:space="preserve">Fragilidad Digital Estructural es una condición empresarial donde el sistema operativo digital no puede soportar, proteger ni escalar el negocio que tiene por encima. Se reconoce por tres síntomas clínicos: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SÍNTOMA</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 EL NEGOCIO DE CLAUDIA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1. Sin Reserva de Oxígeno Operativa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 empresa no tiene el equivalente empresarial de su propio concepto financiero: no hay gobernanza de datos ni backup que proteja el negocio ante una crisis tecnológica. El antecedente ya ocurrió: la agencia anterior se llevó todo al retirarse.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2. Crecimiento sin arquitectura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Hay demanda real (450K seguidores, producto validado, 43 coaches), pero no existe un sistema operativo que la gestione sin que Claudia sea el cuello de botella. El movimiento no puede escalar si depende de su presencia en cada decisión.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3. Datos sin gobierno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Las comisiones de 43 coaches se gestionan en Excel. No hay trazabilidad del crecimiento real de los estudiantes. La empresa no tiene visibilidad sobre lo que más le importa: el impacto real del Método Vórtex.</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El costo de la inacción</w:t>
      </w:r>
    </w:p>
    <w:p>
      <w:pPr>
        <w:pStyle w:val="ListParagraph"/>
        <w:numPr>
          <w:ilvl w:val="0"/>
          <w:numId w:val="2"/>
        </w:numPr>
        <w:spacing w:before="60" w:after="60"/>
      </w:pPr>
      <w:r>
        <w:rPr>
          <w:rFonts w:ascii="Arial" w:cs="Arial" w:eastAsia="Arial" w:hAnsi="Arial"/>
          <w:sz w:val="22"/>
          <w:szCs w:val="22"/>
        </w:rPr>
        <w:t xml:space="preserve">La nueva agencia de ADS ya está activa. El volumen de leads crecerá significativamente en 60-90 días. Si el stack tecnológico no está optimizado antes de ese pico, los leads se perderán o atenderán con fricción, destruyendo el ROI de la inversión en pauta.</w:t>
      </w:r>
    </w:p>
    <w:p>
      <w:pPr>
        <w:pStyle w:val="ListParagraph"/>
        <w:numPr>
          <w:ilvl w:val="0"/>
          <w:numId w:val="2"/>
        </w:numPr>
        <w:spacing w:before="60" w:after="60"/>
      </w:pPr>
      <w:r>
        <w:rPr>
          <w:rFonts w:ascii="Arial" w:cs="Arial" w:eastAsia="Arial" w:hAnsi="Arial"/>
          <w:sz w:val="22"/>
          <w:szCs w:val="22"/>
        </w:rPr>
        <w:t xml:space="preserve">Un evento de crisis tecnológica con el volumen actual costaría entre 3 y 5 veces más que la crisis anterior, incluyendo pérdida de leads activos, coaches desconectados, y recuperación de infraestructura.</w:t>
      </w:r>
    </w:p>
    <w:p>
      <w:pPr>
        <w:pStyle w:val="ListParagraph"/>
        <w:numPr>
          <w:ilvl w:val="0"/>
          <w:numId w:val="2"/>
        </w:numPr>
        <w:spacing w:before="60" w:after="60"/>
      </w:pPr>
      <w:r>
        <w:rPr>
          <w:rFonts w:ascii="Arial" w:cs="Arial" w:eastAsia="Arial" w:hAnsi="Arial"/>
          <w:sz w:val="22"/>
          <w:szCs w:val="22"/>
        </w:rPr>
        <w:t xml:space="preserve">Cada mes sin soberanía digital es un mes donde el crecimiento del movimiento queda expuesto al mismo riesgo que ya ocurrió.</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200"/>
              <w:left w:type="dxa" w:w="280"/>
              <w:bottom w:type="dxa" w:w="200"/>
              <w:right w:type="dxa" w:w="280"/>
            </w:tcMar>
          </w:tcPr>
          <w:p>
            <w:pPr>
              <w:spacing w:before="40" w:after="40"/>
            </w:pPr>
            <w:r>
              <w:rPr>
                <w:rFonts w:ascii="Arial" w:cs="Arial" w:eastAsia="Arial" w:hAnsi="Arial"/>
                <w:b w:val="false"/>
                <w:bCs w:val="false"/>
                <w:i/>
                <w:iCs/>
                <w:color w:val="7A4800"/>
                <w:sz w:val="22"/>
                <w:szCs w:val="22"/>
              </w:rPr>
              <w:t xml:space="preserve">La ventana de preparación es ahora. No cuando el volumen ya llegó y la crisis ya empezó.</w:t>
            </w:r>
          </w:p>
        </w:tc>
      </w:tr>
    </w:tbl>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III — LA VISIÓN</w:t>
      </w:r>
    </w:p>
    <w:p>
      <w:pPr>
        <w:spacing w:before="60" w:after="200"/>
      </w:pPr>
      <w:r>
        <w:rPr>
          <w:rFonts w:ascii="Arial" w:cs="Arial" w:eastAsia="Arial" w:hAnsi="Arial"/>
          <w:b/>
          <w:bCs/>
          <w:i/>
          <w:iCs/>
          <w:color w:val="2E4A6B"/>
          <w:sz w:val="24"/>
          <w:szCs w:val="24"/>
        </w:rPr>
        <w:t xml:space="preserve">La infraestructura que el movimiento financiero de LATAM merece</w:t>
      </w:r>
    </w:p>
    <w:p>
      <w:pPr>
        <w:spacing w:before="80" w:after="120"/>
      </w:pPr>
      <w:r>
        <w:rPr>
          <w:rFonts w:ascii="Arial" w:cs="Arial" w:eastAsia="Arial" w:hAnsi="Arial"/>
          <w:sz w:val="22"/>
          <w:szCs w:val="22"/>
        </w:rPr>
        <w:t xml:space="preserve">La visión de Claudia no es construir una empresa más. Es liderar una rebelión financiera en Latinoamérica: que el Método Vórtex sea independiente de su figura, que 'Rebelión' sea el evento de educación financiera más importante de la región, que sus coaches repliquen el método con profundidad real, que miles de personas en 31 países construyan tranquilidad financiera con estructura, no con atajos.</w:t>
      </w:r>
    </w:p>
    <w:p>
      <w:pPr>
        <w:spacing w:before="80" w:after="80"/>
      </w:pPr>
      <w:r>
        <w:t xml:space="preserve"/>
      </w:r>
    </w:p>
    <w:p>
      <w:pPr>
        <w:spacing w:before="80" w:after="120"/>
      </w:pPr>
      <w:r>
        <w:rPr>
          <w:rFonts w:ascii="Arial" w:cs="Arial" w:eastAsia="Arial" w:hAnsi="Arial"/>
          <w:sz w:val="22"/>
          <w:szCs w:val="22"/>
        </w:rPr>
        <w:t xml:space="preserve">Esa visión requiere una infraestructura a su altura. Lo que Asygnuz construye no es la tecnología de una empresa: es el sistema operativo del movimiento.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HOY — La empresa de Claudia</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 18 MESES — El movimiento de Claudia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CRM en portugués, baja adopción del equipo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CRM propio, en español, integrado con el ecosistema completo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43 coaches gestionados en Excel</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Sistema automatizado: comisiones, leads, trazabilidad y resultados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Datos sin backup ni política de protección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Reserva de Oxígeno Operativa activa: soberanía digital garantizada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Carlos trabaja bajo estructura de agencia externa</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Carlos lidera el equipo técnico interno con infraestructura sólida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Claudia es el cuello de botella operativo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Claudia en su Zona de Genio: estrategia, contenido y expansión del movimiento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 trazabilidad del progreso de estudiantes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Dashboard de impacto del Método Vórtex en tiempo real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 agencia interna propia</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Agencia interna operando: trafikker, diseñador, community manager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Paradoja: enseña estructura, opera en caos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Coherencia total: la empresa vive lo que Claudia enseña</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200"/>
              <w:left w:type="dxa" w:w="280"/>
              <w:bottom w:type="dxa" w:w="200"/>
              <w:right w:type="dxa" w:w="280"/>
            </w:tcMar>
          </w:tcPr>
          <w:p>
            <w:pPr>
              <w:spacing w:before="40" w:after="40"/>
            </w:pPr>
            <w:r>
              <w:rPr>
                <w:rFonts w:ascii="Arial" w:cs="Arial" w:eastAsia="Arial" w:hAnsi="Arial"/>
                <w:b w:val="false"/>
                <w:bCs w:val="false"/>
                <w:i/>
                <w:iCs/>
                <w:color w:val="1B3A5C"/>
                <w:sz w:val="22"/>
                <w:szCs w:val="22"/>
              </w:rPr>
              <w:t xml:space="preserve">La Zona de Genio de Claudia es la estrategia del movimiento, el contenido que mueve a miles de personas, la expansión internacional de Rebelión, y el liderazgo intelectual de la educación financiera en LATAM. Todo lo demás es fricción. El trabajo de Asygnuz es eliminar esa fricción.</w:t>
            </w:r>
          </w:p>
        </w:tc>
      </w:tr>
    </w:tbl>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IV — EL MÉTODO</w:t>
      </w:r>
    </w:p>
    <w:p>
      <w:pPr>
        <w:spacing w:before="60" w:after="200"/>
      </w:pPr>
      <w:r>
        <w:rPr>
          <w:rFonts w:ascii="Arial" w:cs="Arial" w:eastAsia="Arial" w:hAnsi="Arial"/>
          <w:b/>
          <w:bCs/>
          <w:i/>
          <w:iCs/>
          <w:color w:val="2E4A6B"/>
          <w:sz w:val="24"/>
          <w:szCs w:val="24"/>
        </w:rPr>
        <w:t xml:space="preserve">Método A.S.C.E.N.D. by Asygnuz  —  Bajo modelo B.O.T. 2.0</w:t>
      </w:r>
    </w:p>
    <w:p>
      <w:pPr>
        <w:spacing w:before="80" w:after="120"/>
      </w:pPr>
      <w:r>
        <w:rPr>
          <w:rFonts w:ascii="Arial" w:cs="Arial" w:eastAsia="Arial" w:hAnsi="Arial"/>
          <w:sz w:val="22"/>
          <w:szCs w:val="22"/>
        </w:rPr>
        <w:t xml:space="preserve">El Método A.S.C.E.N.D. es el framework propietario de Asygnuz para ejecutar programas de transformación digital en marcas personales y empresas digitales de alto crecimiento. Implementa el modelo Build-Operate-Transfer 2.0, el mismo esquema que BCG utilizó para construir capacidades digitales propias en organizaciones globales, adaptado a la escala y visión de Claudia Uribe.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720"/>
        <w:gridCol w:w="2360"/>
        <w:gridCol w:w="4560"/>
      </w:tblGrid>
      <w:tr>
        <w:tc>
          <w:tcPr>
            <w:tcW w:type="dxa" w:w="72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FASE</w:t>
            </w:r>
          </w:p>
        </w:tc>
        <w:tc>
          <w:tcPr>
            <w:tcW w:type="dxa" w:w="172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NOMBRE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FASE B.O.T.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ENTREGABLES Y HITOS CLAVE</w:t>
            </w:r>
          </w:p>
        </w:tc>
      </w:tr>
      <w:tr>
        <w:tc>
          <w:tcPr>
            <w:tcW w:type="dxa" w:w="72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b/>
                <w:bCs/>
                <w:color w:val="1B3A5C"/>
                <w:sz w:val="28"/>
                <w:szCs w:val="28"/>
              </w:rPr>
              <w:t xml:space="preserve">A</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19"/>
                <w:szCs w:val="19"/>
              </w:rPr>
              <w:t xml:space="preserve">BUILD (Mes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Diagnóstico completo del ecosistema. Customer Journey Map actualizado. Inventario total de herramientas, accesos y riesgos. Primer informe de Fragilidad Digital Estructural.</w:t>
            </w:r>
          </w:p>
        </w:tc>
      </w:tr>
      <w:tr>
        <w:tc>
          <w:tcPr>
            <w:tcW w:type="dxa" w:w="72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b/>
                <w:bCs/>
                <w:color w:val="1B3A5C"/>
                <w:sz w:val="28"/>
                <w:szCs w:val="28"/>
              </w:rPr>
              <w:t xml:space="preserve">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SOVEREIGNTY</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19"/>
                <w:szCs w:val="19"/>
              </w:rPr>
              <w:t xml:space="preserve">BUILD (Meses 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Transferencia completa de accesos. Backup estructurado de toda la base de datos. Política de tratamiento de datos. Activación de la Reserva de Oxígeno Operativa.</w:t>
            </w:r>
          </w:p>
        </w:tc>
      </w:tr>
      <w:tr>
        <w:tc>
          <w:tcPr>
            <w:tcW w:type="dxa" w:w="72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b/>
                <w:bCs/>
                <w:color w:val="1B3A5C"/>
                <w:sz w:val="28"/>
                <w:szCs w:val="28"/>
              </w:rPr>
              <w:t xml:space="preserve">C</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SYSTEM</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19"/>
                <w:szCs w:val="19"/>
              </w:rPr>
              <w:t xml:space="preserve">BUILD (Meses 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Nuevo CRM implementado. Chatbot con lógica real de calificación. Sistema de comisiones de 43 coaches automatizado. Dashboard consolidado. Stack integrado y documentado.</w:t>
            </w:r>
          </w:p>
        </w:tc>
      </w:tr>
      <w:tr>
        <w:tc>
          <w:tcPr>
            <w:tcW w:type="dxa" w:w="72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b/>
                <w:bCs/>
                <w:color w:val="1B3A5C"/>
                <w:sz w:val="28"/>
                <w:szCs w:val="28"/>
              </w:rPr>
              <w:t xml:space="preserve">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ECOSYSTEM</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19"/>
                <w:szCs w:val="19"/>
              </w:rPr>
              <w:t xml:space="preserve">OPERATE (Meses 4-8)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Estrategia orgánica de Instagram activa (5 pilares). Coaches con perfiles creciendo. Sistema de atribución de leads por coach. Primeros resultados medibles del ecosistema.</w:t>
            </w:r>
          </w:p>
        </w:tc>
      </w:tr>
      <w:tr>
        <w:tc>
          <w:tcPr>
            <w:tcW w:type="dxa" w:w="72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b/>
                <w:bCs/>
                <w:color w:val="1B3A5C"/>
                <w:sz w:val="28"/>
                <w:szCs w:val="28"/>
              </w:rPr>
              <w:t xml:space="preserve">N</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NETWORK SCALE</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19"/>
                <w:szCs w:val="19"/>
              </w:rPr>
              <w:t xml:space="preserve">OPERATE+ (Meses 8-14)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Coaches generando leads autónomos. Automatizaciones de WhatsApp y seguimiento. Claudia fuera de la operación diaria. Equipo interno contratado con procesos documentados.</w:t>
            </w:r>
          </w:p>
        </w:tc>
      </w:tr>
      <w:tr>
        <w:tc>
          <w:tcPr>
            <w:tcW w:type="dxa" w:w="72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b/>
                <w:bCs/>
                <w:color w:val="1B3A5C"/>
                <w:sz w:val="28"/>
                <w:szCs w:val="28"/>
              </w:rPr>
              <w:t xml:space="preserve">D</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 HANDOFF</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19"/>
                <w:szCs w:val="19"/>
              </w:rPr>
              <w:t xml:space="preserve">TRANSFER (Mes 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Agencia interna operando con autonomía. Carlos como Tech Lead con infraestructura sólida. Asygnuz en gobernanza estratégica y auditoría trimestral.</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B.O.T. 2.0 — El modelo de relación que elimina el miedo a depender</w:t>
      </w:r>
    </w:p>
    <w:p>
      <w:pPr>
        <w:spacing w:before="80" w:after="120"/>
      </w:pPr>
      <w:r>
        <w:rPr>
          <w:rFonts w:ascii="Arial" w:cs="Arial" w:eastAsia="Arial" w:hAnsi="Arial"/>
          <w:sz w:val="22"/>
          <w:szCs w:val="22"/>
        </w:rPr>
        <w:t xml:space="preserve">Asygnuz es la rebelión contra el modelo de agencia tradicional que retiene clientes como rehenes. El objetivo declarado de B.O.T. 2.0 es que Claudia no nos necesite. Eso no es un discurso de marketing: es el diseño del contrato.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PERÍODO</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FEE ASYGNUZ</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QUÉ LOGRA CLAUDIA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BUILD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Meses 1–6</w:t>
            </w:r>
          </w:p>
        </w:tc>
        <w:tc>
          <w:tcPr>
            <w:tcW w:type="dxa" w:w="2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$2,000 USD/mes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Toda la arquitectura construida. Soberanía digital activada. Stack integrado. Carlos con infraestructura sólida debajo.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OPERATE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Meses 7–12</w:t>
            </w:r>
          </w:p>
        </w:tc>
        <w:tc>
          <w:tcPr>
            <w:tcW w:type="dxa" w:w="2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$1,500 USD/mes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Primeros perfiles internos contratados. Documentación completa. Transferencia activa de conocimiento.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OPERATE+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Meses 13–18</w:t>
            </w:r>
          </w:p>
        </w:tc>
        <w:tc>
          <w:tcPr>
            <w:tcW w:type="dxa" w:w="2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$1,200 USD/mes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Agencia interna madura. Claudia en su Zona de Genio. Asygnuz supervisa y ajusta.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TRANSFER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 19 en adelante</w:t>
            </w:r>
          </w:p>
        </w:tc>
        <w:tc>
          <w:tcPr>
            <w:tcW w:type="dxa" w:w="27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$1,000 USD/mes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Claudia opera con plena autonomía. Asygnuz como Junta Asesora Estratégica.</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El rol de Carlos en el programa</w:t>
      </w:r>
    </w:p>
    <w:p>
      <w:pPr>
        <w:spacing w:before="80" w:after="120"/>
      </w:pPr>
      <w:r>
        <w:rPr>
          <w:rFonts w:ascii="Arial" w:cs="Arial" w:eastAsia="Arial" w:hAnsi="Arial"/>
          <w:sz w:val="22"/>
          <w:szCs w:val="22"/>
        </w:rPr>
        <w:t xml:space="preserve">Carlos no es el problema. Carlos es la pieza central del plan. Asygnuz no viene a desplazarlo ni a competir con él. Viene a construir la infraestructura sobre la cual Carlos puede ejercer su talento con claridad: herramientas propias de la marca, procesos documentados bajo TOGAF, arquitectura que creció con metodología y no por inercia.</w:t>
      </w:r>
    </w:p>
    <w:p>
      <w:pPr>
        <w:spacing w:before="80" w:after="80"/>
      </w:pPr>
      <w:r>
        <w:t xml:space="preserve"/>
      </w:r>
    </w:p>
    <w:p>
      <w:pPr>
        <w:spacing w:before="80" w:after="120"/>
      </w:pPr>
      <w:r>
        <w:rPr>
          <w:rFonts w:ascii="Arial" w:cs="Arial" w:eastAsia="Arial" w:hAnsi="Arial"/>
          <w:sz w:val="22"/>
          <w:szCs w:val="22"/>
        </w:rPr>
        <w:t xml:space="preserve">Al finalizar el programa, Carlos tiene debajo de él todo lo que necesita para ser el Tech Lead de la agencia interna de Claudia: CRM documentado, stack integrado y soberano, procesos formalizados bajo estándares corporativos. Asygnuz le entrega la casa construida. Carlos la habita y la expande.</w:t>
      </w:r>
    </w:p>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V — LOS TRES ESCENARIOS</w:t>
      </w:r>
    </w:p>
    <w:p>
      <w:pPr>
        <w:spacing w:before="60" w:after="200"/>
      </w:pPr>
      <w:r>
        <w:rPr>
          <w:rFonts w:ascii="Arial" w:cs="Arial" w:eastAsia="Arial" w:hAnsi="Arial"/>
          <w:b/>
          <w:bCs/>
          <w:i/>
          <w:iCs/>
          <w:color w:val="2E4A6B"/>
          <w:sz w:val="24"/>
          <w:szCs w:val="24"/>
        </w:rPr>
        <w:t xml:space="preserve">Tres caminos hacia la soberanía digital del movimiento</w:t>
      </w:r>
    </w:p>
    <w:p>
      <w:pPr>
        <w:spacing w:before="80" w:after="120"/>
      </w:pPr>
      <w:r>
        <w:rPr>
          <w:rFonts w:ascii="Arial" w:cs="Arial" w:eastAsia="Arial" w:hAnsi="Arial"/>
          <w:sz w:val="22"/>
          <w:szCs w:val="22"/>
        </w:rPr>
        <w:t xml:space="preserve">La propuesta contempla tres modelos de relación. Cada uno está diseñado para un perfil de decisión diferente. La decisión correcta es la que más se alinea con la visión, el ritmo y los recursos de Claudia.</w:t>
      </w:r>
    </w:p>
    <w:p>
      <w:pPr>
        <w:spacing w:before="80" w:after="80"/>
      </w:pPr>
      <w:r>
        <w:t xml:space="preserve"/>
      </w:r>
    </w:p>
    <w:p>
      <w:pPr>
        <w:pStyle w:val="Heading2"/>
        <w:spacing w:before="300" w:after="150"/>
      </w:pPr>
      <w:r>
        <w:rPr>
          <w:rFonts w:ascii="Arial" w:cs="Arial" w:eastAsia="Arial" w:hAnsi="Arial"/>
          <w:b/>
          <w:bCs/>
          <w:color w:val="2E4A6B"/>
          <w:sz w:val="26"/>
          <w:szCs w:val="26"/>
        </w:rPr>
        <w:t xml:space="preserve">Escenario A — Outsourcing Permanente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Outsourcing permanente mes a 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Fee mensual</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$1,200 – $1,500 USD / mes (estable)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Duración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Indefinida, con revisión anual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 de Asygnuz</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Departamento externo de IT, marketing y estrategia digital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¿Cumple la visión de Claudia?</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Parcialmente: resuelve el riesgo operativo pero no construye la agencia interna ni el movimiento autónomo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ESCENARIO B — B.O.T. 2.0 + MÉTODO A.S.C.E.N.D.  |  CONSTRUYE LA VISIÓN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80"/>
        <w:gridCol w:w="30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ETAPA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PERÍODO</w:t>
            </w:r>
          </w:p>
        </w:tc>
        <w:tc>
          <w:tcPr>
            <w:tcW w:type="dxa" w:w="24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FEE ASYGNUZ</w:t>
            </w:r>
          </w:p>
        </w:tc>
        <w:tc>
          <w:tcPr>
            <w:tcW w:type="dxa" w:w="30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QUÉ OCURRE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BUILD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Meses 1–6</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$2,000 USD/mes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Asygnuz opera con célula completa. Toda la arquitectura construida: CRM, automatizaciones, soberanía, stack integrado, estrategia orgánica.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OPERATE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Meses 7–12</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$1,500 USD/mes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Primeros perfiles internos contratados. Transferencia activa. Documentación total de procesos bajo TOGAF y PMBook.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OPERATE+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Meses 13–18</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$1,200 USD/mes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Agencia interna madura. Asygnuz supervisa y ajusta. Claudia en su Zona de Genio.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TRANSFER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 19+</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3A5C"/>
                <w:sz w:val="19"/>
                <w:szCs w:val="19"/>
              </w:rPr>
              <w:t xml:space="preserve">$1,000 USD/mes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Claudia opera con total autonomía. Asygnuz como Junta Asesora Estratégica.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8" w:val="clear"/>
            <w:tcMar>
              <w:top w:type="dxa" w:w="200"/>
              <w:left w:type="dxa" w:w="280"/>
              <w:bottom w:type="dxa" w:w="200"/>
              <w:right w:type="dxa" w:w="280"/>
            </w:tcMar>
          </w:tcPr>
          <w:p>
            <w:pPr>
              <w:spacing w:before="40" w:after="40"/>
            </w:pPr>
            <w:r>
              <w:rPr>
                <w:rFonts w:ascii="Arial" w:cs="Arial" w:eastAsia="Arial" w:hAnsi="Arial"/>
                <w:b w:val="false"/>
                <w:bCs w:val="false"/>
                <w:i/>
                <w:iCs/>
                <w:color w:val="1A5C2E"/>
                <w:sz w:val="22"/>
                <w:szCs w:val="22"/>
              </w:rPr>
              <w:t xml:space="preserve">Costo total Escenario B a 18 meses: ~$24,600 USD. Resultado: agencia interna propia, stack soberano, equipo contratado, procesos documentados, Asygnuz como consejo asesor. Construirlo sin método ni acompañamiento costaría 2-3x más con mayor riesgo de error.</w:t>
            </w:r>
          </w:p>
        </w:tc>
      </w:tr>
    </w:tbl>
    <w:p>
      <w:pPr>
        <w:spacing w:before="80" w:after="80"/>
      </w:pPr>
      <w:r>
        <w:t xml:space="preserve"/>
      </w:r>
    </w:p>
    <w:p>
      <w:pPr>
        <w:pStyle w:val="Heading2"/>
        <w:spacing w:before="300" w:after="150"/>
      </w:pPr>
      <w:r>
        <w:rPr>
          <w:rFonts w:ascii="Arial" w:cs="Arial" w:eastAsia="Arial" w:hAnsi="Arial"/>
          <w:b/>
          <w:bCs/>
          <w:color w:val="2E4A6B"/>
          <w:sz w:val="26"/>
          <w:szCs w:val="26"/>
        </w:rPr>
        <w:t xml:space="preserve">Escenario C — Fractional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Dirección estratégica mensual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Fee mensual Asygnuz</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$800 – $1,000 USD / mes (solo dirección)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Costos operativos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 cargo de Claudia desde el mes 1 (equipo completo)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 de Asygnuz</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Fractional CTO + Fractional Growth Director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Riesgo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Mayor: Claudia asume contratación y gestión de equipo sin infraestructura ni procesos previos</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¿Por qué Asygnuz versus contratar un ingeniero?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1 INGENIERO SENIOR</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ASYGNUZ — ESCENARIO 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Perfiles incluidos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persona</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Dirección estratégica + IT + Marketing + Diseño + PM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Metodología formal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Ninguna</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TOGAF + PMBook + UNIDO + B.O.T.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Gobernanza de datos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es su especialidad</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Core del servicio desde el primer día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Marketing orgánico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incluido</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Incluido: estrategia de 5 pilares + ecosistema de coaches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Si se va, el conocimiento...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 va con él</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Permanece: documentado y propiedad de la marca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Visión de Claudia cumplida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Sí: agencia interna + soberanía + movimiento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Resultado a 18 meses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Parche tecnológico</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Empresa digital autónoma y escalable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Costo mensual aprox.</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$800-$1,500 USD + prestaciones</w:t>
            </w:r>
          </w:p>
        </w:tc>
        <w:tc>
          <w:tcPr>
            <w:tcW w:type="dxa" w:w="31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1B3A5C"/>
                <w:sz w:val="19"/>
                <w:szCs w:val="19"/>
              </w:rPr>
              <w:t xml:space="preserve">$2,000 USD decreciendo a $1,000</w:t>
            </w:r>
          </w:p>
        </w:tc>
      </w:tr>
    </w:tbl>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VI — EL EQUIPO</w:t>
      </w:r>
    </w:p>
    <w:p>
      <w:pPr>
        <w:spacing w:before="60" w:after="200"/>
      </w:pPr>
      <w:r>
        <w:rPr>
          <w:rFonts w:ascii="Arial" w:cs="Arial" w:eastAsia="Arial" w:hAnsi="Arial"/>
          <w:b/>
          <w:bCs/>
          <w:i/>
          <w:iCs/>
          <w:color w:val="2E4A6B"/>
          <w:sz w:val="24"/>
          <w:szCs w:val="24"/>
        </w:rPr>
        <w:t xml:space="preserve">Los arquitectos del movimiento</w:t>
      </w:r>
    </w:p>
    <w:p>
      <w:pPr>
        <w:spacing w:before="80" w:after="120"/>
      </w:pPr>
      <w:r>
        <w:rPr>
          <w:rFonts w:ascii="Arial" w:cs="Arial" w:eastAsia="Arial" w:hAnsi="Arial"/>
          <w:sz w:val="22"/>
          <w:szCs w:val="22"/>
        </w:rPr>
        <w:t xml:space="preserve">Por un costo mensual inferior al de un ingeniero senior con prestaciones, Claudia integra una célula directiva completa con visión, metodología y experiencia corporativa real.</w:t>
      </w:r>
    </w:p>
    <w:p>
      <w:pPr>
        <w:spacing w:before="80" w:after="80"/>
      </w:pPr>
      <w:r>
        <w:t xml:space="preserve"/>
      </w:r>
    </w:p>
    <w:p>
      <w:pPr>
        <w:pStyle w:val="Heading2"/>
        <w:spacing w:before="300" w:after="150"/>
      </w:pPr>
      <w:r>
        <w:rPr>
          <w:rFonts w:ascii="Arial" w:cs="Arial" w:eastAsia="Arial" w:hAnsi="Arial"/>
          <w:b/>
          <w:bCs/>
          <w:color w:val="2E4A6B"/>
          <w:sz w:val="26"/>
          <w:szCs w:val="26"/>
        </w:rPr>
        <w:t xml:space="preserve">Juan Pablo Ríos Carmona — Enterprise Architecture &amp; Governance Lead</w:t>
      </w:r>
    </w:p>
    <w:p>
      <w:pPr>
        <w:spacing w:before="80" w:after="120"/>
      </w:pPr>
      <w:r>
        <w:rPr>
          <w:rFonts w:ascii="Arial" w:cs="Arial" w:eastAsia="Arial" w:hAnsi="Arial"/>
          <w:sz w:val="22"/>
          <w:szCs w:val="22"/>
        </w:rPr>
        <w:t xml:space="preserve">Gerente de Proyectos de Ingeniería y Tecnología con más de 5 años de experiencia en gobernanza End-to-End de proyectos complejos y transformación digital. Ha estructurado y gestionado presupuestos de inversión (CAPEX) de hasta $1 millón USD y liderado equipos multidisciplinarios en sectores de alta exigencia.</w:t>
      </w:r>
    </w:p>
    <w:p>
      <w:pPr>
        <w:spacing w:before="80" w:after="80"/>
      </w:pPr>
      <w:r>
        <w:t xml:space="preserve"/>
      </w:r>
    </w:p>
    <w:p>
      <w:pPr>
        <w:spacing w:before="80" w:after="120"/>
      </w:pPr>
      <w:r>
        <w:rPr>
          <w:rFonts w:ascii="Arial" w:cs="Arial" w:eastAsia="Arial" w:hAnsi="Arial"/>
          <w:sz w:val="22"/>
          <w:szCs w:val="22"/>
        </w:rPr>
        <w:t xml:space="preserve">Como Director TIC (CTO) de Café Quindío, dirigió el ciclo completo de desarrollo de software operando simultáneamente como Product Owner, lideró un squad ágil de 7 desarrolladores, incrementó los ingresos un 10% en el primer mes, y arquitectó un ecosistema de Chatbot y CRM omnicanal que automatizó el 40% de las interacciones de servicio. El mismo tipo de sistema que el movimiento de Claudia necesita hoy.</w:t>
      </w:r>
    </w:p>
    <w:p>
      <w:pPr>
        <w:spacing w:before="80" w:after="80"/>
      </w:pPr>
      <w:r>
        <w:t xml:space="preserve"/>
      </w:r>
    </w:p>
    <w:p>
      <w:pPr>
        <w:spacing w:before="80" w:after="120"/>
      </w:pPr>
      <w:r>
        <w:rPr>
          <w:rFonts w:ascii="Arial" w:cs="Arial" w:eastAsia="Arial" w:hAnsi="Arial"/>
          <w:sz w:val="22"/>
          <w:szCs w:val="22"/>
        </w:rPr>
        <w:t xml:space="preserve">En el ecosistema de Claudia Uribe, Juan desarrolló el embudo de ventas JAMStack de alta conversión, implementó analítica multiplataforma con atribución UTM y dirigió el empalme tecnológico post-crisis. Juan es la garantía de que la transición se hará bajo metodologías formales y no a la deriva.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Especialización en Gerencia de Proyectos — Universidad EAFIA (2025). Certificado PMI/PMBOK y Agile Scrum.</w:t>
      </w:r>
    </w:p>
    <w:p>
      <w:pPr>
        <w:pStyle w:val="ListParagraph"/>
        <w:numPr>
          <w:ilvl w:val="0"/>
          <w:numId w:val="2"/>
        </w:numPr>
        <w:spacing w:before="60" w:after="60"/>
      </w:pPr>
      <w:r>
        <w:rPr>
          <w:rFonts w:ascii="Arial" w:cs="Arial" w:eastAsia="Arial" w:hAnsi="Arial"/>
          <w:sz w:val="22"/>
          <w:szCs w:val="22"/>
        </w:rPr>
        <w:t xml:space="preserve">Arquitectura Cloud: AWS (Lambda, S3, Serverless), Azure, Docker, Kubernetes.</w:t>
      </w:r>
    </w:p>
    <w:p>
      <w:pPr>
        <w:pStyle w:val="ListParagraph"/>
        <w:numPr>
          <w:ilvl w:val="0"/>
          <w:numId w:val="2"/>
        </w:numPr>
        <w:spacing w:before="60" w:after="60"/>
      </w:pPr>
      <w:r>
        <w:rPr>
          <w:rFonts w:ascii="Arial" w:cs="Arial" w:eastAsia="Arial" w:hAnsi="Arial"/>
          <w:sz w:val="22"/>
          <w:szCs w:val="22"/>
        </w:rPr>
        <w:t xml:space="preserve">Desarrollo Full Stack: Python, JavaScript, TypeScript, React, Astro, Node.js.</w:t>
      </w:r>
    </w:p>
    <w:p>
      <w:pPr>
        <w:pStyle w:val="ListParagraph"/>
        <w:numPr>
          <w:ilvl w:val="0"/>
          <w:numId w:val="2"/>
        </w:numPr>
        <w:spacing w:before="60" w:after="60"/>
      </w:pPr>
      <w:r>
        <w:rPr>
          <w:rFonts w:ascii="Arial" w:cs="Arial" w:eastAsia="Arial" w:hAnsi="Arial"/>
          <w:sz w:val="22"/>
          <w:szCs w:val="22"/>
        </w:rPr>
        <w:t xml:space="preserve">Integración de IA: LangChain, LLMs (GPT-4o, Gemini), PostgreSQL, pgvector.</w:t>
      </w:r>
    </w:p>
    <w:p>
      <w:pPr>
        <w:spacing w:before="80" w:after="80"/>
      </w:pPr>
      <w:r>
        <w:t xml:space="preserve"/>
      </w:r>
    </w:p>
    <w:p>
      <w:pPr>
        <w:pStyle w:val="Heading2"/>
        <w:spacing w:before="300" w:after="150"/>
      </w:pPr>
      <w:r>
        <w:rPr>
          <w:rFonts w:ascii="Arial" w:cs="Arial" w:eastAsia="Arial" w:hAnsi="Arial"/>
          <w:b/>
          <w:bCs/>
          <w:color w:val="2E4A6B"/>
          <w:sz w:val="26"/>
          <w:szCs w:val="26"/>
        </w:rPr>
        <w:t xml:space="preserve">Andrés Agudelo — Digital Growth &amp; UI/UX Lead</w:t>
      </w:r>
    </w:p>
    <w:p>
      <w:pPr>
        <w:spacing w:before="80" w:after="120"/>
      </w:pPr>
      <w:r>
        <w:rPr>
          <w:rFonts w:ascii="Arial" w:cs="Arial" w:eastAsia="Arial" w:hAnsi="Arial"/>
          <w:sz w:val="22"/>
          <w:szCs w:val="22"/>
        </w:rPr>
        <w:t xml:space="preserve">Ingeniero de Sistemas y Diseñador Gráfico con más de 6 años de experiencia en desarrollo Full Stack, arquitectura de interfaces y liderazgo tecnológico. Una combinación que en el mercado raramente se encuentra en un solo perfil: ingeniería de sistemas + diseño gráfico + estrategia digital con fluidez técnica completa en cada disciplina.</w:t>
      </w:r>
    </w:p>
    <w:p>
      <w:pPr>
        <w:spacing w:before="80" w:after="80"/>
      </w:pPr>
      <w:r>
        <w:t xml:space="preserve"/>
      </w:r>
    </w:p>
    <w:p>
      <w:pPr>
        <w:spacing w:before="80" w:after="120"/>
      </w:pPr>
      <w:r>
        <w:rPr>
          <w:rFonts w:ascii="Arial" w:cs="Arial" w:eastAsia="Arial" w:hAnsi="Arial"/>
          <w:sz w:val="22"/>
          <w:szCs w:val="22"/>
        </w:rPr>
        <w:t xml:space="preserve">Andrés elimina la brecha más costosa que existe en proyectos digitales: la fricción entre diseño y desarrollo. No es un diseñador que programa un poco, ni un programador que diseña un poco. Es alguien que habita ambos mundos con profundidad. Esta capacidad es especialmente crítica para el ecosistema de Claudia, donde la experiencia visual de los coaches y los estudiantes determina directamente la conversión.</w:t>
      </w:r>
    </w:p>
    <w:p>
      <w:pPr>
        <w:spacing w:before="80" w:after="80"/>
      </w:pPr>
      <w:r>
        <w:t xml:space="preserve"/>
      </w:r>
    </w:p>
    <w:p>
      <w:pPr>
        <w:spacing w:before="80" w:after="120"/>
      </w:pPr>
      <w:r>
        <w:rPr>
          <w:rFonts w:ascii="Arial" w:cs="Arial" w:eastAsia="Arial" w:hAnsi="Arial"/>
          <w:sz w:val="22"/>
          <w:szCs w:val="22"/>
        </w:rPr>
        <w:t xml:space="preserve">Como Tech Lead de FreedomCenter S.A.S., lideró el equipo de desarrollo para un proyecto del sector salud durante más de dos años. Trabajó como Desarrollador Frontend en Infosel (México), uno de los principales proveedores de información financiera de Latinoamérica. Como Consultor para Café Quindío, trabajó de la mano con Juan en la misma arquitectura que ahora aplican para Claudia.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Ingeniería de Sistemas — Universidad de Manizales. Diseño Gráfico — American Business School.</w:t>
      </w:r>
    </w:p>
    <w:p>
      <w:pPr>
        <w:pStyle w:val="ListParagraph"/>
        <w:numPr>
          <w:ilvl w:val="0"/>
          <w:numId w:val="2"/>
        </w:numPr>
        <w:spacing w:before="60" w:after="60"/>
      </w:pPr>
      <w:r>
        <w:rPr>
          <w:rFonts w:ascii="Arial" w:cs="Arial" w:eastAsia="Arial" w:hAnsi="Arial"/>
          <w:sz w:val="22"/>
          <w:szCs w:val="22"/>
        </w:rPr>
        <w:t xml:space="preserve">Stack técnico: React.js, React Native, Next.js, Node.js, TypeScript, PostgreSQL.</w:t>
      </w:r>
    </w:p>
    <w:p>
      <w:pPr>
        <w:pStyle w:val="ListParagraph"/>
        <w:numPr>
          <w:ilvl w:val="0"/>
          <w:numId w:val="2"/>
        </w:numPr>
        <w:spacing w:before="60" w:after="60"/>
      </w:pPr>
      <w:r>
        <w:rPr>
          <w:rFonts w:ascii="Arial" w:cs="Arial" w:eastAsia="Arial" w:hAnsi="Arial"/>
          <w:sz w:val="22"/>
          <w:szCs w:val="22"/>
        </w:rPr>
        <w:t xml:space="preserve">Diseño: Adobe Illustrator, UI/UX, arquitectura de interfaces centradas en conversión.</w:t>
      </w:r>
    </w:p>
    <w:p>
      <w:pPr>
        <w:spacing w:before="80" w:after="80"/>
      </w:pPr>
      <w:r>
        <w:t xml:space="preserve"/>
      </w:r>
    </w:p>
    <w:p>
      <w:pPr>
        <w:pStyle w:val="Heading2"/>
        <w:spacing w:before="300" w:after="150"/>
      </w:pPr>
      <w:r>
        <w:rPr>
          <w:rFonts w:ascii="Arial" w:cs="Arial" w:eastAsia="Arial" w:hAnsi="Arial"/>
          <w:b/>
          <w:bCs/>
          <w:color w:val="2E4A6B"/>
          <w:sz w:val="26"/>
          <w:szCs w:val="26"/>
        </w:rPr>
        <w:t xml:space="preserve">Red de aliados especializados</w:t>
      </w:r>
    </w:p>
    <w:p>
      <w:pPr>
        <w:spacing w:before="80" w:after="120"/>
      </w:pPr>
      <w:r>
        <w:rPr>
          <w:rFonts w:ascii="Arial" w:cs="Arial" w:eastAsia="Arial" w:hAnsi="Arial"/>
          <w:sz w:val="22"/>
          <w:szCs w:val="22"/>
        </w:rPr>
        <w:t xml:space="preserve">Para las fases de escalamiento, Asygnuz activa una red de especialistas validados: trafikkers de performance, community managers para ecosistemas de coaches, especialistas en automatización de WhatsApp, y arquitectos de contenido estratégico. Todos bajo la metodología y supervisión directa de Asygnuz, con procesos documentados desde el primer día.</w:t>
      </w:r>
    </w:p>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PARTE VII — PRÓXIMOS PASOS</w:t>
      </w:r>
    </w:p>
    <w:p>
      <w:pPr>
        <w:spacing w:before="60" w:after="200"/>
      </w:pPr>
      <w:r>
        <w:rPr>
          <w:rFonts w:ascii="Arial" w:cs="Arial" w:eastAsia="Arial" w:hAnsi="Arial"/>
          <w:b/>
          <w:bCs/>
          <w:i/>
          <w:iCs/>
          <w:color w:val="2E4A6B"/>
          <w:sz w:val="24"/>
          <w:szCs w:val="24"/>
        </w:rPr>
        <w:t xml:space="preserve">Cómo activamos el programa en los próximos 7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DÍA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Día 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Decisión de escenario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Claudia define qué escenario se alinea con su visión. Reunión de cierre con Andrés y Juan.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Día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Firma del acuerdo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Contrato bajo el escenario elegido. Definición de estructura de pago.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Día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Sesión de Kickoff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Reunión de arranque con todo el equipo: Claudia, Daniela, Carlos, Andrés, Juan. Presentación del plan de Fase AUDIT.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4A6B"/>
                <w:sz w:val="19"/>
                <w:szCs w:val="19"/>
              </w:rPr>
              <w:t xml:space="preserve">Día 6-7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Inicio Fase AUDIT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Levantamiento completo del ecosistema digital. Primer entregable: mapa de riesgos, oportunidades y hoja de ruta.</w:t>
            </w:r>
          </w:p>
        </w:tc>
      </w:tr>
    </w:tbl>
    <w:p>
      <w:pPr>
        <w:spacing w:before="160" w:after="160"/>
      </w:pPr>
      <w:r>
        <w:t xml:space="preserve"/>
      </w:r>
    </w:p>
    <w:p>
      <w:pPr>
        <w:pStyle w:val="Heading2"/>
        <w:spacing w:before="300" w:after="150"/>
      </w:pPr>
      <w:r>
        <w:rPr>
          <w:rFonts w:ascii="Arial" w:cs="Arial" w:eastAsia="Arial" w:hAnsi="Arial"/>
          <w:b/>
          <w:bCs/>
          <w:color w:val="2E4A6B"/>
          <w:sz w:val="26"/>
          <w:szCs w:val="26"/>
        </w:rPr>
        <w:t xml:space="preserve">Lo que ya está listo para activarse de inmediato</w:t>
      </w:r>
    </w:p>
    <w:p>
      <w:pPr>
        <w:pStyle w:val="ListParagraph"/>
        <w:numPr>
          <w:ilvl w:val="0"/>
          <w:numId w:val="2"/>
        </w:numPr>
        <w:spacing w:before="60" w:after="60"/>
      </w:pPr>
      <w:r>
        <w:rPr>
          <w:rFonts w:ascii="Arial" w:cs="Arial" w:eastAsia="Arial" w:hAnsi="Arial"/>
          <w:sz w:val="22"/>
          <w:szCs w:val="22"/>
        </w:rPr>
        <w:t xml:space="preserve">Optimización de LCP de ambas landing pages a menos de 2.5s (actualmente 4.4s y 3.99s).</w:t>
      </w:r>
    </w:p>
    <w:p>
      <w:pPr>
        <w:pStyle w:val="ListParagraph"/>
        <w:numPr>
          <w:ilvl w:val="0"/>
          <w:numId w:val="2"/>
        </w:numPr>
        <w:spacing w:before="60" w:after="60"/>
      </w:pPr>
      <w:r>
        <w:rPr>
          <w:rFonts w:ascii="Arial" w:cs="Arial" w:eastAsia="Arial" w:hAnsi="Arial"/>
          <w:sz w:val="22"/>
          <w:szCs w:val="22"/>
        </w:rPr>
        <w:t xml:space="preserve">Activación de retargeting ManyChat (27 sesiones ya registradas, audiencia lista).</w:t>
      </w:r>
    </w:p>
    <w:p>
      <w:pPr>
        <w:pStyle w:val="ListParagraph"/>
        <w:numPr>
          <w:ilvl w:val="0"/>
          <w:numId w:val="2"/>
        </w:numPr>
        <w:spacing w:before="60" w:after="60"/>
      </w:pPr>
      <w:r>
        <w:rPr>
          <w:rFonts w:ascii="Arial" w:cs="Arial" w:eastAsia="Arial" w:hAnsi="Arial"/>
          <w:sz w:val="22"/>
          <w:szCs w:val="22"/>
        </w:rPr>
        <w:t xml:space="preserve">A/B test de CTA para mejorar tasa de agenda (actualmente 3.4%).</w:t>
      </w:r>
    </w:p>
    <w:p>
      <w:pPr>
        <w:pStyle w:val="ListParagraph"/>
        <w:numPr>
          <w:ilvl w:val="0"/>
          <w:numId w:val="2"/>
        </w:numPr>
        <w:spacing w:before="60" w:after="60"/>
      </w:pPr>
      <w:r>
        <w:rPr>
          <w:rFonts w:ascii="Arial" w:cs="Arial" w:eastAsia="Arial" w:hAnsi="Arial"/>
          <w:sz w:val="22"/>
          <w:szCs w:val="22"/>
        </w:rPr>
        <w:t xml:space="preserve">Publicación de la estrategia orgánica de Instagram (5 pilares definidos).</w:t>
      </w:r>
    </w:p>
    <w:p>
      <w:pPr>
        <w:pStyle w:val="ListParagraph"/>
        <w:numPr>
          <w:ilvl w:val="0"/>
          <w:numId w:val="2"/>
        </w:numPr>
        <w:spacing w:before="60" w:after="60"/>
      </w:pPr>
      <w:r>
        <w:rPr>
          <w:rFonts w:ascii="Arial" w:cs="Arial" w:eastAsia="Arial" w:hAnsi="Arial"/>
          <w:sz w:val="22"/>
          <w:szCs w:val="22"/>
        </w:rPr>
        <w:t xml:space="preserve">Activación de primeras campañas Meta Ads (Pixel instalado, audiencias configuradas).</w:t>
      </w:r>
    </w:p>
    <w:p>
      <w:r>
        <w:br w:type="page"/>
      </w:r>
    </w:p>
    <w:p>
      <w:pPr>
        <w:pStyle w:val="Heading1"/>
        <w:pBdr>
          <w:bottom w:val="single" w:color="1B3A5C" w:sz="6" w:space="4"/>
        </w:pBdr>
        <w:spacing w:before="440" w:after="220"/>
      </w:pPr>
      <w:r>
        <w:rPr>
          <w:rFonts w:ascii="Arial" w:cs="Arial" w:eastAsia="Arial" w:hAnsi="Arial"/>
          <w:b/>
          <w:bCs/>
          <w:color w:val="1B3A5C"/>
          <w:sz w:val="32"/>
          <w:szCs w:val="32"/>
        </w:rPr>
        <w:t xml:space="preserve">CIERRE — LAS TRES PROMESAS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200"/>
              <w:left w:type="dxa" w:w="280"/>
              <w:bottom w:type="dxa" w:w="200"/>
              <w:right w:type="dxa" w:w="280"/>
            </w:tcMar>
          </w:tcPr>
          <w:p>
            <w:pPr>
              <w:spacing w:before="40" w:after="40"/>
            </w:pPr>
            <w:r>
              <w:rPr>
                <w:rFonts w:ascii="Arial" w:cs="Arial" w:eastAsia="Arial" w:hAnsi="Arial"/>
                <w:b w:val="false"/>
                <w:bCs w:val="false"/>
                <w:i/>
                <w:iCs/>
                <w:color w:val="1B3A5C"/>
                <w:sz w:val="22"/>
                <w:szCs w:val="22"/>
              </w:rPr>
              <w:t xml:space="preserve">Para Claudia: La paradoja se resuelve. La empresaria que enseña estructura al mundo tendrá la estructura que su propio negocio merece. Lo que construiste nunca más estará expuesto.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8" w:val="clear"/>
            <w:tcMar>
              <w:top w:type="dxa" w:w="200"/>
              <w:left w:type="dxa" w:w="280"/>
              <w:bottom w:type="dxa" w:w="200"/>
              <w:right w:type="dxa" w:w="280"/>
            </w:tcMar>
          </w:tcPr>
          <w:p>
            <w:pPr>
              <w:spacing w:before="40" w:after="40"/>
            </w:pPr>
            <w:r>
              <w:rPr>
                <w:rFonts w:ascii="Arial" w:cs="Arial" w:eastAsia="Arial" w:hAnsi="Arial"/>
                <w:b w:val="false"/>
                <w:bCs w:val="false"/>
                <w:i/>
                <w:iCs/>
                <w:color w:val="1A5C2E"/>
                <w:sz w:val="22"/>
                <w:szCs w:val="22"/>
              </w:rPr>
              <w:t xml:space="preserve">Para el equipo: Carlos, Daniela y el equipo tendrán las herramientas, los procesos y la claridad para trabajar sin fricciones. Carlos será el Tech Lead de la agencia de Claudia, no de una agencia externa.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200"/>
              <w:left w:type="dxa" w:w="280"/>
              <w:bottom w:type="dxa" w:w="200"/>
              <w:right w:type="dxa" w:w="280"/>
            </w:tcMar>
          </w:tcPr>
          <w:p>
            <w:pPr>
              <w:spacing w:before="40" w:after="40"/>
            </w:pPr>
            <w:r>
              <w:rPr>
                <w:rFonts w:ascii="Arial" w:cs="Arial" w:eastAsia="Arial" w:hAnsi="Arial"/>
                <w:b w:val="false"/>
                <w:bCs w:val="false"/>
                <w:i/>
                <w:iCs/>
                <w:color w:val="7A4800"/>
                <w:sz w:val="22"/>
                <w:szCs w:val="22"/>
              </w:rPr>
              <w:t xml:space="preserve">Para el movimiento: Rebelión, el Método Vórtex y la educación financiera consciente en LATAM tendrán la infraestructura que ningún movimiento de esta magnitud puede permitirse no tener.</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'No venimos a ser tu agencia. Venimos a construir la tuya.'</w:t>
            </w:r>
          </w:p>
        </w:tc>
      </w:tr>
    </w:tbl>
    <w:p>
      <w:pPr>
        <w:spacing w:before="160" w:after="160"/>
      </w:pPr>
      <w:r>
        <w:t xml:space="preserve"/>
      </w:r>
    </w:p>
    <w:p>
      <w:pPr>
        <w:spacing w:before="200" w:after="100"/>
        <w:jc w:val="center"/>
      </w:pPr>
      <w:r>
        <w:rPr>
          <w:rFonts w:ascii="Arial" w:cs="Arial" w:eastAsia="Arial" w:hAnsi="Arial"/>
          <w:b/>
          <w:bCs/>
          <w:color w:val="1B3A5C"/>
          <w:sz w:val="28"/>
          <w:szCs w:val="28"/>
        </w:rPr>
        <w:t xml:space="preserve">Asygnuz S.A.S.</w:t>
      </w:r>
    </w:p>
    <w:p>
      <w:pPr>
        <w:jc w:val="center"/>
      </w:pPr>
      <w:r>
        <w:rPr>
          <w:rFonts w:ascii="Arial" w:cs="Arial" w:eastAsia="Arial" w:hAnsi="Arial"/>
          <w:color w:val="666666"/>
          <w:sz w:val="20"/>
          <w:szCs w:val="20"/>
        </w:rPr>
        <w:t xml:space="preserve">Juan Pablo Ríos Carmona  |  Andrés Agudelo</w:t>
      </w:r>
    </w:p>
    <w:p>
      <w:pPr>
        <w:jc w:val="center"/>
      </w:pPr>
      <w:r>
        <w:rPr>
          <w:rFonts w:ascii="Arial" w:cs="Arial" w:eastAsia="Arial" w:hAnsi="Arial"/>
          <w:color w:val="AAAAAA"/>
          <w:sz w:val="18"/>
          <w:szCs w:val="18"/>
        </w:rPr>
        <w:t xml:space="preserve">Manizales, Colombia  —  Marzo 2026</w:t>
      </w:r>
    </w:p>
    <w:p>
      <w:pPr>
        <w:spacing w:before="100"/>
        <w:jc w:val="center"/>
      </w:pPr>
      <w:r>
        <w:rPr>
          <w:rFonts w:ascii="Arial" w:cs="Arial" w:eastAsia="Arial" w:hAnsi="Arial"/>
          <w:i/>
          <w:iCs/>
          <w:color w:val="BBBBBB"/>
          <w:sz w:val="18"/>
          <w:szCs w:val="18"/>
        </w:rPr>
        <w:t xml:space="preserve">Propuesta Versión 1.0 —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2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4A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2026-03-09T00:30:53.056Z</dcterms:created>
  <dcterms:modified xsi:type="dcterms:W3CDTF">2026-03-09T00:30:53.057Z</dcterms:modified>
</cp:coreProperties>
</file>

<file path=docProps/custom.xml><?xml version="1.0" encoding="utf-8"?>
<Properties xmlns="http://schemas.openxmlformats.org/officeDocument/2006/custom-properties" xmlns:vt="http://schemas.openxmlformats.org/officeDocument/2006/docPropsVTypes"/>
</file>