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sz w:val="32"/>
        </w:rPr>
        <w:t>CONVENIO DE PAGO</w:t>
      </w:r>
    </w:p>
    <w:p>
      <w:pPr>
        <w:spacing w:after="320" w:before="0" w:line="276" w:lineRule="auto"/>
        <w:jc w:val="center"/>
      </w:pPr>
      <w:r>
        <w:rPr>
          <w:rFonts w:ascii="Times New Roman" w:hAnsi="Times New Roman" w:eastAsia="Times New Roman"/>
          <w:b/>
          <w:sz w:val="22"/>
        </w:rPr>
        <w:t>No. CP-PRODUCTORA-CARTONERA-2026-001</w:t>
      </w:r>
    </w:p>
    <w:p>
      <w:pPr>
        <w:spacing w:after="240" w:before="0" w:line="276" w:lineRule="auto"/>
        <w:jc w:val="both"/>
      </w:pPr>
      <w:r>
        <w:rPr>
          <w:rFonts w:ascii="Times New Roman" w:hAnsi="Times New Roman" w:eastAsia="Times New Roman"/>
          <w:b w:val="0"/>
          <w:sz w:val="22"/>
        </w:rPr>
        <w:t>Comparecen a la celebración del presente Convenio de Pago, por una parte, COMPAÑÍA DE ALIMENTOS Y SERVICIOS COALSE S.A., a quien en adelante se denominará "EL ACREEDOR"; y, por otra parte, PRODUCTORA CARTONERA S.A. (código de cliente CLTE-00000059), a quien en adelante se denominará "EL DEUDOR"; quienes libre y voluntariamente convienen en celebrar el presente instrumento al tenor de las siguientes cláusulas:</w:t>
      </w:r>
    </w:p>
    <w:p>
      <w:pPr>
        <w:spacing w:after="120" w:before="0" w:line="276" w:lineRule="auto"/>
        <w:jc w:val="left"/>
      </w:pPr>
      <w:r>
        <w:rPr>
          <w:rFonts w:ascii="Times New Roman" w:hAnsi="Times New Roman" w:eastAsia="Times New Roman"/>
          <w:b/>
          <w:sz w:val="22"/>
        </w:rPr>
        <w:t>CLÁUSULA PRIMERA. — ANTECEDENTES</w:t>
      </w:r>
    </w:p>
    <w:p>
      <w:pPr>
        <w:spacing w:after="240" w:before="0" w:line="276" w:lineRule="auto"/>
        <w:jc w:val="both"/>
      </w:pPr>
      <w:r>
        <w:rPr>
          <w:rFonts w:ascii="Times New Roman" w:hAnsi="Times New Roman" w:eastAsia="Times New Roman"/>
          <w:b w:val="0"/>
          <w:sz w:val="22"/>
        </w:rPr>
        <w:t>EL DEUDOR mantiene a favor de EL ACREEDOR obligaciones mercantiles vencidas derivadas de facturas de venta, conforme al estado de antigüedad de cobros vigente, por un monto total vencido de $ 92.467,87 (NOVENTA Y DOS MIL CUATROCIENTOS SESENTA Y SIETE CON 87/100 DÓLARES DE LOS ESTADOS UNIDOS DE AMÉRICA), correspondiente a trece (13) facturas detalladas en el Anexo A del presente convenio. Dicho total coincide con el "Total Vencido" del reporte de antigüedad de cobros.</w:t>
      </w:r>
    </w:p>
    <w:p>
      <w:pPr>
        <w:spacing w:after="120" w:before="0" w:line="276" w:lineRule="auto"/>
        <w:jc w:val="left"/>
      </w:pPr>
      <w:r>
        <w:rPr>
          <w:rFonts w:ascii="Times New Roman" w:hAnsi="Times New Roman" w:eastAsia="Times New Roman"/>
          <w:b/>
          <w:sz w:val="22"/>
        </w:rPr>
        <w:t>CLÁUSULA SEGUNDA. — OBJETO</w:t>
      </w:r>
    </w:p>
    <w:p>
      <w:pPr>
        <w:spacing w:after="240" w:before="0" w:line="276" w:lineRule="auto"/>
        <w:jc w:val="both"/>
      </w:pPr>
      <w:r>
        <w:rPr>
          <w:rFonts w:ascii="Times New Roman" w:hAnsi="Times New Roman" w:eastAsia="Times New Roman"/>
          <w:b w:val="0"/>
          <w:sz w:val="22"/>
        </w:rPr>
        <w:t>El objeto del presente convenio es establecer un plan de pagos para la cancelación íntegra del saldo vencido indicado en la cláusula anterior, sin perjuicio de las obligaciones no vencidas que EL DEUDOR mantiene y que deberán pagarse en sus respectivas fechas de vencimiento.</w:t>
      </w:r>
    </w:p>
    <w:p>
      <w:pPr>
        <w:spacing w:after="120" w:before="0" w:line="276" w:lineRule="auto"/>
        <w:jc w:val="left"/>
      </w:pPr>
      <w:r>
        <w:rPr>
          <w:rFonts w:ascii="Times New Roman" w:hAnsi="Times New Roman" w:eastAsia="Times New Roman"/>
          <w:b/>
          <w:sz w:val="22"/>
        </w:rPr>
        <w:t>CLÁUSULA TERCERA. — MONTO DEL CONVENIO</w:t>
      </w:r>
    </w:p>
    <w:p>
      <w:pPr>
        <w:spacing w:after="160" w:before="0" w:line="276" w:lineRule="auto"/>
        <w:jc w:val="both"/>
      </w:pPr>
      <w:r>
        <w:rPr>
          <w:rFonts w:ascii="Times New Roman" w:hAnsi="Times New Roman" w:eastAsia="Times New Roman"/>
          <w:b w:val="0"/>
          <w:sz w:val="22"/>
        </w:rPr>
        <w:t>El monto total objeto de este convenio es de $ 92.467,87, conforme al siguiente resumen por antigüedad:</w:t>
      </w:r>
    </w:p>
    <w:tbl>
      <w:tblPr>
        <w:tblW w:type="auto" w:w="0"/>
        <w:jc w:val="center"/>
        <w:tblLook w:firstColumn="1" w:firstRow="1" w:lastColumn="0" w:lastRow="0" w:noHBand="0" w:noVBand="1" w:val="04A0"/>
      </w:tblPr>
      <w:tblGrid>
        <w:gridCol w:w="4873"/>
        <w:gridCol w:w="4873"/>
      </w:tblGrid>
      <w:tr>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sz w:val="20"/>
              </w:rPr>
              <w:t>Rango de antigüedad</w:t>
            </w:r>
          </w:p>
        </w:tc>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sz w:val="20"/>
              </w:rPr>
              <w:t>Monto vencido</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sz w:val="20"/>
              </w:rPr>
              <w:t>31 - 60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$ 36.680,55</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sz w:val="20"/>
              </w:rPr>
              <w:t>61 - 90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$ 22.220,64</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sz w:val="20"/>
              </w:rPr>
              <w:t>Más de 90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$ 33.566,68</w:t>
            </w:r>
          </w:p>
        </w:tc>
      </w:tr>
      <w:tr>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sz w:val="20"/>
              </w:rPr>
              <w:t>TOTAL VENCIDO</w:t>
            </w:r>
          </w:p>
        </w:tc>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sz w:val="20"/>
              </w:rPr>
              <w:t>$ 92.467,87</w:t>
            </w:r>
          </w:p>
        </w:tc>
      </w:tr>
    </w:tbl>
    <w:p>
      <w:pPr>
        <w:spacing w:after="160" w:before="0" w:line="276" w:lineRule="auto"/>
        <w:jc w:val="both"/>
      </w:pPr>
    </w:p>
    <w:p>
      <w:pPr>
        <w:spacing w:after="120" w:before="0" w:line="276" w:lineRule="auto"/>
        <w:jc w:val="left"/>
      </w:pPr>
      <w:r>
        <w:rPr>
          <w:rFonts w:ascii="Times New Roman" w:hAnsi="Times New Roman" w:eastAsia="Times New Roman"/>
          <w:b/>
          <w:sz w:val="22"/>
        </w:rPr>
        <w:t>CLÁUSULA CUARTA. — FORMA DE PAGO</w:t>
      </w:r>
    </w:p>
    <w:p>
      <w:pPr>
        <w:spacing w:after="160" w:before="0" w:line="276" w:lineRule="auto"/>
        <w:jc w:val="both"/>
      </w:pPr>
      <w:r>
        <w:rPr>
          <w:rFonts w:ascii="Times New Roman" w:hAnsi="Times New Roman" w:eastAsia="Times New Roman"/>
          <w:b w:val="0"/>
          <w:sz w:val="22"/>
        </w:rPr>
        <w:t>EL DEUDOR se compromete a cancelar el monto total del presente convenio mediante cuotas semanales de $ 15.000,00, de acuerdo con el siguiente calendario de pagos. La última cuota corresponderá al saldo remanente necesario para cuadrar exactamente el total vencido de $ 92.467,87:</w:t>
      </w:r>
    </w:p>
    <w:tbl>
      <w:tblPr>
        <w:tblW w:type="auto" w:w="0"/>
        <w:jc w:val="center"/>
        <w:tblLook w:firstColumn="1" w:firstRow="1" w:lastColumn="0" w:lastRow="0" w:noHBand="0" w:noVBand="1" w:val="04A0"/>
      </w:tblPr>
      <w:tblGrid>
        <w:gridCol w:w="2436"/>
        <w:gridCol w:w="2436"/>
        <w:gridCol w:w="2436"/>
        <w:gridCol w:w="2436"/>
      </w:tblGrid>
      <w:tr>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sz w:val="20"/>
              </w:rPr>
              <w:t>Cuota</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sz w:val="20"/>
              </w:rPr>
              <w:t>Fecha de pago</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sz w:val="20"/>
              </w:rPr>
              <w:t>Valor de la cuota</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sz w:val="20"/>
              </w:rPr>
              <w:t>Saldo pendiente</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1</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28/09/2026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$ 77.467,87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2</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05/10/2026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$ 62.467,87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3</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12/10/2026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$ 47.467,87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4</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19/10/2026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$ 32.467,87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5</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26/10/2026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$ 17.467,87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6</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02/11/2026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$ 2.467,87</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7</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sz w:val="20"/>
              </w:rPr>
              <w:t>09/11/2026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$ 2.467,87</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sz w:val="20"/>
              </w:rPr>
              <w:t>$ 0,00</w:t>
            </w:r>
          </w:p>
        </w:tc>
      </w:tr>
      <w:tr>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sz w:val="20"/>
              </w:rPr>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sz w:val="20"/>
              </w:rPr>
              <w:t>TOTAL</w:t>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sz w:val="20"/>
              </w:rPr>
              <w:t>$ 92.467,87</w:t>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sz w:val="20"/>
              </w:rPr>
              <w:t>$ 0,00</w:t>
            </w:r>
          </w:p>
        </w:tc>
      </w:tr>
    </w:tbl>
    <w:p>
      <w:pPr>
        <w:spacing w:after="120" w:before="0" w:line="276" w:lineRule="auto"/>
        <w:jc w:val="both"/>
      </w:pPr>
    </w:p>
    <w:p>
      <w:pPr>
        <w:spacing w:after="240" w:before="0" w:line="276" w:lineRule="auto"/>
        <w:jc w:val="both"/>
      </w:pPr>
      <w:r>
        <w:rPr>
          <w:rFonts w:ascii="Times New Roman" w:hAnsi="Times New Roman" w:eastAsia="Times New Roman"/>
          <w:b w:val="0"/>
          <w:sz w:val="22"/>
        </w:rPr>
        <w:t>Los pagos se efectuarán mediante transferencia bancaria a la cuenta que EL ACREEDOR indique por escrito, o por cualquier otro medio de pago aceptado por este. EL DEUDOR enviará el comprobante de pago el mismo día de cada abono.</w:t>
      </w:r>
    </w:p>
    <w:p>
      <w:pPr>
        <w:spacing w:after="120" w:before="0" w:line="276" w:lineRule="auto"/>
        <w:jc w:val="left"/>
      </w:pPr>
      <w:r>
        <w:rPr>
          <w:rFonts w:ascii="Times New Roman" w:hAnsi="Times New Roman" w:eastAsia="Times New Roman"/>
          <w:b/>
          <w:sz w:val="22"/>
        </w:rPr>
        <w:t>CLÁUSULA QUINTA. — IMPUTACIÓN DE PAGOS</w:t>
      </w:r>
    </w:p>
    <w:p>
      <w:pPr>
        <w:spacing w:after="240" w:before="0" w:line="276" w:lineRule="auto"/>
        <w:jc w:val="both"/>
      </w:pPr>
      <w:r>
        <w:rPr>
          <w:rFonts w:ascii="Times New Roman" w:hAnsi="Times New Roman" w:eastAsia="Times New Roman"/>
          <w:b w:val="0"/>
          <w:sz w:val="22"/>
        </w:rPr>
        <w:t>Los abonos realizados en virtud de este convenio se imputarán preferentemente a las facturas vencidas detalladas en el Anexo A, en orden de antigüedad (de mayor a menor), salvo instrucción distinta de EL ACREEDOR.</w:t>
      </w:r>
    </w:p>
    <w:p>
      <w:pPr>
        <w:spacing w:after="120" w:before="0" w:line="276" w:lineRule="auto"/>
        <w:jc w:val="left"/>
      </w:pPr>
      <w:r>
        <w:rPr>
          <w:rFonts w:ascii="Times New Roman" w:hAnsi="Times New Roman" w:eastAsia="Times New Roman"/>
          <w:b/>
          <w:sz w:val="22"/>
        </w:rPr>
        <w:t>CLÁUSULA SEXTA. — MORA E INCUMPLIMIENTO</w:t>
      </w:r>
    </w:p>
    <w:p>
      <w:pPr>
        <w:spacing w:after="240" w:before="0" w:line="276" w:lineRule="auto"/>
        <w:jc w:val="both"/>
      </w:pPr>
      <w:r>
        <w:rPr>
          <w:rFonts w:ascii="Times New Roman" w:hAnsi="Times New Roman" w:eastAsia="Times New Roman"/>
          <w:b w:val="0"/>
          <w:sz w:val="22"/>
        </w:rPr>
        <w:t>El retardo en el pago de cualquiera de las cuotas por más de tres (3) días calendario facultará a EL ACREEDOR a declarar de plazo vencido el saldo insoluto del convenio, sin necesidad de requerimiento judicial o extrajudicial previo, pudiendo iniciar las acciones de cobro legales correspondientes. Asimismo, EL ACREEDOR podrá suspender nuevos despachos a crédito mientras exista incumplimiento.</w:t>
      </w:r>
    </w:p>
    <w:p>
      <w:pPr>
        <w:spacing w:after="120" w:before="0" w:line="276" w:lineRule="auto"/>
        <w:jc w:val="left"/>
      </w:pPr>
      <w:r>
        <w:rPr>
          <w:rFonts w:ascii="Times New Roman" w:hAnsi="Times New Roman" w:eastAsia="Times New Roman"/>
          <w:b/>
          <w:sz w:val="22"/>
        </w:rPr>
        <w:t>CLÁUSULA SÉPTIMA. — OBLIGACIONES NO VENCIDAS</w:t>
      </w:r>
    </w:p>
    <w:p>
      <w:pPr>
        <w:spacing w:after="240" w:before="0" w:line="276" w:lineRule="auto"/>
        <w:jc w:val="both"/>
      </w:pPr>
      <w:r>
        <w:rPr>
          <w:rFonts w:ascii="Times New Roman" w:hAnsi="Times New Roman" w:eastAsia="Times New Roman"/>
          <w:b w:val="0"/>
          <w:sz w:val="22"/>
        </w:rPr>
        <w:t>Queda expresamente establecido que el presente convenio cubre únicamente el total vencido de $ 92.467,87. Las facturas con saldo no vencido (actualmente $ 64.925,23 según el reporte) deberán pagarse en sus fechas de vencimiento originales y no forman parte de este plan de cuotas.</w:t>
      </w:r>
    </w:p>
    <w:p>
      <w:pPr>
        <w:spacing w:after="120" w:before="0" w:line="276" w:lineRule="auto"/>
        <w:jc w:val="left"/>
      </w:pPr>
      <w:r>
        <w:rPr>
          <w:rFonts w:ascii="Times New Roman" w:hAnsi="Times New Roman" w:eastAsia="Times New Roman"/>
          <w:b/>
          <w:sz w:val="22"/>
        </w:rPr>
        <w:t>CLÁUSULA OCTAVA. — RECONOCIMIENTO DE DEUDA</w:t>
      </w:r>
    </w:p>
    <w:p>
      <w:pPr>
        <w:spacing w:after="240" w:before="0" w:line="276" w:lineRule="auto"/>
        <w:jc w:val="both"/>
      </w:pPr>
      <w:r>
        <w:rPr>
          <w:rFonts w:ascii="Times New Roman" w:hAnsi="Times New Roman" w:eastAsia="Times New Roman"/>
          <w:b w:val="0"/>
          <w:sz w:val="22"/>
        </w:rPr>
        <w:t>EL DEUDOR reconoce expresa, clara e inequívocamente adeudar a EL ACREEDOR la suma de $ 92.467,87, proveniente de las facturas detalladas en el Anexo A, renunciando a cualquier excepción, reclamo o controversia respecto de la existencia, legitimidad y exigibilidad de dicha obligación, salvo errores materiales de cálculo que se corregirán de mutuo acuerdo.</w:t>
      </w:r>
    </w:p>
    <w:p>
      <w:pPr>
        <w:spacing w:after="120" w:before="0" w:line="276" w:lineRule="auto"/>
        <w:jc w:val="left"/>
      </w:pPr>
      <w:r>
        <w:rPr>
          <w:rFonts w:ascii="Times New Roman" w:hAnsi="Times New Roman" w:eastAsia="Times New Roman"/>
          <w:b/>
          <w:sz w:val="22"/>
        </w:rPr>
        <w:t>CLÁUSULA NOVENA. — VIGENCIA</w:t>
      </w:r>
    </w:p>
    <w:p>
      <w:pPr>
        <w:spacing w:after="240" w:before="0" w:line="276" w:lineRule="auto"/>
        <w:jc w:val="both"/>
      </w:pPr>
      <w:r>
        <w:rPr>
          <w:rFonts w:ascii="Times New Roman" w:hAnsi="Times New Roman" w:eastAsia="Times New Roman"/>
          <w:b w:val="0"/>
          <w:sz w:val="22"/>
        </w:rPr>
        <w:t>El presente convenio entrará en vigencia a partir de la fecha de su suscripción y concluirá con la cancelación total del monto convenido, esto es, hasta el 09/11/2026, o antes si EL DEUDOR anticipa el pago del saldo.</w:t>
      </w:r>
    </w:p>
    <w:p>
      <w:pPr>
        <w:spacing w:after="120" w:before="0" w:line="276" w:lineRule="auto"/>
        <w:jc w:val="left"/>
      </w:pPr>
      <w:r>
        <w:rPr>
          <w:rFonts w:ascii="Times New Roman" w:hAnsi="Times New Roman" w:eastAsia="Times New Roman"/>
          <w:b/>
          <w:sz w:val="22"/>
        </w:rPr>
        <w:t>CLÁUSULA DÉCIMA. — ACEPTACIÓN</w:t>
      </w:r>
    </w:p>
    <w:p>
      <w:pPr>
        <w:spacing w:after="320" w:before="0" w:line="276" w:lineRule="auto"/>
        <w:jc w:val="both"/>
      </w:pPr>
      <w:r>
        <w:rPr>
          <w:rFonts w:ascii="Times New Roman" w:hAnsi="Times New Roman" w:eastAsia="Times New Roman"/>
          <w:b w:val="0"/>
          <w:sz w:val="22"/>
        </w:rPr>
        <w:t>Las partes declaran haber leído íntegramente el presente convenio, conocer su contenido y alcance, y lo aceptan en todas sus partes, firmándolo en señal de conformidad en dos ejemplares de igual valor.</w:t>
      </w:r>
    </w:p>
    <w:p>
      <w:pPr>
        <w:spacing w:after="720" w:before="0" w:line="276" w:lineRule="auto"/>
        <w:jc w:val="center"/>
      </w:pPr>
      <w:r>
        <w:rPr>
          <w:rFonts w:ascii="Times New Roman" w:hAnsi="Times New Roman" w:eastAsia="Times New Roman"/>
          <w:b w:val="0"/>
          <w:sz w:val="22"/>
        </w:rPr>
        <w:t>Dado y firmado en la ciudad de Guayaquil, a los 21 días del mes de septiembre de 2026.</w:t>
      </w:r>
    </w:p>
    <w:tbl>
      <w:tblPr>
        <w:tblW w:type="auto" w:w="0"/>
        <w:tblLayout w:type="autofit"/>
        <w:tblLook w:firstColumn="1" w:firstRow="1" w:lastColumn="0" w:lastRow="0" w:noHBand="0" w:noVBand="1" w:val="04A0"/>
      </w:tblPr>
      <w:tblGrid>
        <w:gridCol w:w="4873"/>
        <w:gridCol w:w="4873"/>
      </w:tblGrid>
      <w:tr>
        <w:tc>
          <w:tcPr>
            <w:tcW w:type="dxa" w:w="4873"/>
            <w:vAlign w:val="center"/>
          </w:tcPr>
          <w:p>
            <w:pPr>
              <w:spacing w:before="40" w:after="40"/>
              <w:jc w:val="center"/>
            </w:pPr>
            <w:r>
              <w:rPr>
                <w:rFonts w:ascii="Times New Roman" w:hAnsi="Times New Roman" w:eastAsia="Times New Roman"/>
                <w:b w:val="0"/>
                <w:sz w:val="22"/>
              </w:rPr>
              <w:t>_______________________________</w:t>
            </w:r>
          </w:p>
        </w:tc>
        <w:tc>
          <w:tcPr>
            <w:tcW w:type="dxa" w:w="4873"/>
            <w:vAlign w:val="center"/>
          </w:tcPr>
          <w:p>
            <w:pPr>
              <w:spacing w:before="40" w:after="40"/>
              <w:jc w:val="center"/>
            </w:pPr>
            <w:r>
              <w:rPr>
                <w:rFonts w:ascii="Times New Roman" w:hAnsi="Times New Roman" w:eastAsia="Times New Roman"/>
                <w:b w:val="0"/>
                <w:sz w:val="22"/>
              </w:rPr>
              <w:t>_______________________________</w:t>
            </w:r>
          </w:p>
        </w:tc>
      </w:tr>
      <w:tr>
        <w:tc>
          <w:tcPr>
            <w:tcW w:type="dxa" w:w="4873"/>
            <w:vAlign w:val="center"/>
          </w:tcPr>
          <w:p>
            <w:pPr>
              <w:spacing w:before="40" w:after="40"/>
              <w:jc w:val="center"/>
            </w:pPr>
            <w:r>
              <w:rPr>
                <w:rFonts w:ascii="Times New Roman" w:hAnsi="Times New Roman" w:eastAsia="Times New Roman"/>
                <w:b/>
                <w:sz w:val="22"/>
              </w:rPr>
              <w:t>EL ACREEDOR</w:t>
            </w:r>
          </w:p>
        </w:tc>
        <w:tc>
          <w:tcPr>
            <w:tcW w:type="dxa" w:w="4873"/>
            <w:vAlign w:val="center"/>
          </w:tcPr>
          <w:p>
            <w:pPr>
              <w:spacing w:before="40" w:after="40"/>
              <w:jc w:val="center"/>
            </w:pPr>
            <w:r>
              <w:rPr>
                <w:rFonts w:ascii="Times New Roman" w:hAnsi="Times New Roman" w:eastAsia="Times New Roman"/>
                <w:b/>
                <w:sz w:val="22"/>
              </w:rPr>
              <w:t>EL DEUDOR</w:t>
            </w:r>
          </w:p>
        </w:tc>
      </w:tr>
      <w:tr>
        <w:tc>
          <w:tcPr>
            <w:tcW w:type="dxa" w:w="4873"/>
          </w:tcPr>
          <w:p>
            <w:pPr>
              <w:jc w:val="center"/>
            </w:pPr>
            <w:r>
              <w:rPr>
                <w:rFonts w:ascii="Times New Roman" w:hAnsi="Times New Roman" w:eastAsia="Times New Roman"/>
                <w:b w:val="0"/>
                <w:sz w:val="18"/>
              </w:rPr>
              <w:t>COMPAÑÍA DE ALIMENTOS Y SERVICIOS</w:t>
            </w:r>
            <w:r>
              <w:rPr>
                <w:rFonts w:ascii="Times New Roman" w:hAnsi="Times New Roman" w:eastAsia="Times New Roman"/>
                <w:b w:val="0"/>
                <w:sz w:val="18"/>
              </w:rPr>
              <w:br/>
              <w:t>COALSE S.A.</w:t>
            </w:r>
          </w:p>
        </w:tc>
        <w:tc>
          <w:tcPr>
            <w:tcW w:type="dxa" w:w="4873"/>
          </w:tcPr>
          <w:p>
            <w:pPr>
              <w:jc w:val="center"/>
            </w:pPr>
            <w:r>
              <w:rPr>
                <w:rFonts w:ascii="Times New Roman" w:hAnsi="Times New Roman" w:eastAsia="Times New Roman"/>
                <w:b w:val="0"/>
                <w:sz w:val="18"/>
              </w:rPr>
              <w:t>PRODUCTORA CARTONERA S.A.</w:t>
            </w:r>
            <w:r>
              <w:rPr>
                <w:rFonts w:ascii="Times New Roman" w:hAnsi="Times New Roman" w:eastAsia="Times New Roman"/>
                <w:b w:val="0"/>
                <w:sz w:val="18"/>
              </w:rPr>
              <w:br/>
              <w:t>Cliente: CLTE-00000059</w:t>
            </w:r>
          </w:p>
        </w:tc>
      </w:tr>
      <w:tr>
        <w:tc>
          <w:tcPr>
            <w:tcW w:type="dxa" w:w="4873"/>
          </w:tcPr>
          <w:p>
            <w:pPr>
              <w:jc w:val="center"/>
            </w:pPr>
            <w:r>
              <w:rPr>
                <w:rFonts w:ascii="Times New Roman" w:hAnsi="Times New Roman" w:eastAsia="Times New Roman"/>
                <w:b w:val="0"/>
                <w:sz w:val="18"/>
              </w:rPr>
              <w:t>Nombre: _______________________</w:t>
            </w:r>
            <w:r>
              <w:rPr>
                <w:rFonts w:ascii="Times New Roman" w:hAnsi="Times New Roman" w:eastAsia="Times New Roman"/>
                <w:b w:val="0"/>
                <w:sz w:val="18"/>
              </w:rPr>
              <w:br/>
              <w:t>Cargo: _________________________</w:t>
            </w:r>
          </w:p>
        </w:tc>
        <w:tc>
          <w:tcPr>
            <w:tcW w:type="dxa" w:w="4873"/>
          </w:tcPr>
          <w:p>
            <w:pPr>
              <w:jc w:val="center"/>
            </w:pPr>
            <w:r>
              <w:rPr>
                <w:rFonts w:ascii="Times New Roman" w:hAnsi="Times New Roman" w:eastAsia="Times New Roman"/>
                <w:b w:val="0"/>
                <w:sz w:val="18"/>
              </w:rPr>
              <w:t>Nombre: _______________________</w:t>
            </w:r>
            <w:r>
              <w:rPr>
                <w:rFonts w:ascii="Times New Roman" w:hAnsi="Times New Roman" w:eastAsia="Times New Roman"/>
                <w:b w:val="0"/>
                <w:sz w:val="18"/>
              </w:rPr>
              <w:br/>
              <w:t>Cargo: _________________________</w:t>
            </w:r>
          </w:p>
        </w:tc>
      </w:tr>
    </w:tbl>
    <w:p>
      <w:r>
        <w:br w:type="page"/>
      </w:r>
    </w:p>
    <w:p>
      <w:pPr>
        <w:spacing w:after="40" w:before="0" w:line="276" w:lineRule="auto"/>
        <w:jc w:val="center"/>
      </w:pPr>
      <w:r>
        <w:rPr>
          <w:rFonts w:ascii="Times New Roman" w:hAnsi="Times New Roman" w:eastAsia="Times New Roman"/>
          <w:b/>
          <w:sz w:val="28"/>
        </w:rPr>
        <w:t>ANEXO A</w:t>
      </w:r>
    </w:p>
    <w:p>
      <w:pPr>
        <w:spacing w:after="80" w:before="0" w:line="276" w:lineRule="auto"/>
        <w:jc w:val="center"/>
      </w:pPr>
      <w:r>
        <w:rPr>
          <w:rFonts w:ascii="Times New Roman" w:hAnsi="Times New Roman" w:eastAsia="Times New Roman"/>
          <w:b/>
          <w:sz w:val="22"/>
        </w:rPr>
        <w:t>DETALLE DE FACTURAS VENCIDAS INCLUIDAS EN EL CONVENIO</w:t>
      </w:r>
    </w:p>
    <w:p>
      <w:pPr>
        <w:spacing w:after="200" w:before="0" w:line="276" w:lineRule="auto"/>
        <w:jc w:val="center"/>
      </w:pPr>
      <w:r>
        <w:rPr>
          <w:rFonts w:ascii="Times New Roman" w:hAnsi="Times New Roman" w:eastAsia="Times New Roman"/>
          <w:b w:val="0"/>
          <w:sz w:val="20"/>
        </w:rPr>
        <w:t>Cliente: PRODUCTORA CARTONERA S.A. (CLTE-00000059)  |  Total vencido: $ 92.467,87</w:t>
      </w:r>
    </w:p>
    <w:tbl>
      <w:tblPr>
        <w:tblW w:type="auto" w:w="0"/>
        <w:jc w:val="center"/>
        <w:tblLook w:firstColumn="1" w:firstRow="1" w:lastColumn="0" w:lastRow="0" w:noHBand="0" w:noVBand="1" w:val="04A0"/>
      </w:tblPr>
      <w:tblGrid>
        <w:gridCol w:w="1949"/>
        <w:gridCol w:w="1949"/>
        <w:gridCol w:w="1949"/>
        <w:gridCol w:w="1949"/>
        <w:gridCol w:w="1949"/>
      </w:tblGrid>
      <w:tr>
        <w:tc>
          <w:tcPr>
            <w:tcW w:type="dxa" w:w="680"/>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6"/>
              </w:rPr>
              <w:t>Nº</w:t>
            </w:r>
          </w:p>
        </w:tc>
        <w:tc>
          <w:tcPr>
            <w:tcW w:type="dxa" w:w="2268"/>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6"/>
              </w:rPr>
              <w:t>Nº Factura</w:t>
            </w:r>
          </w:p>
        </w:tc>
        <w:tc>
          <w:tcPr>
            <w:tcW w:type="dxa" w:w="198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6"/>
              </w:rPr>
              <w:t>Fecha vencimiento</w:t>
            </w:r>
          </w:p>
        </w:tc>
        <w:tc>
          <w:tcPr>
            <w:tcW w:type="dxa" w:w="181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6"/>
              </w:rPr>
              <w:t>Antigüedad</w:t>
            </w:r>
          </w:p>
        </w:tc>
        <w:tc>
          <w:tcPr>
            <w:tcW w:type="dxa" w:w="181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6"/>
              </w:rPr>
              <w:t>Saldo vencido</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001005000003230</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$ 7.385,24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2</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001005000003235</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$ 7.698,59</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001005000003240</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$ 6.628,64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4</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001005000003746</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$ 6.162,83</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5</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001005000003751</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$ 5.691,38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6</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001005000004460</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$ 7.605,44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7</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001005000004466</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$ 7.117,04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8</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001005000004472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$ 7.498,16</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9</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001005000005648</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$ 7.117,04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10</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001005000005654</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$ 7.303,36</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11</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001005000005762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$ 7.190,44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12</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001005000005768</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$ 7.661,89</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13</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001005000005774</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sz w:val="16"/>
              </w:rPr>
              <w:t>$ 7.407,82</w:t>
            </w:r>
          </w:p>
        </w:tc>
      </w:tr>
      <w:tr>
        <w:tc>
          <w:tcPr>
            <w:tcW w:type="dxa" w:w="680"/>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8"/>
              </w:rPr>
            </w:r>
          </w:p>
        </w:tc>
        <w:tc>
          <w:tcPr>
            <w:tcW w:type="dxa" w:w="2268"/>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8"/>
              </w:rPr>
            </w:r>
          </w:p>
        </w:tc>
        <w:tc>
          <w:tcPr>
            <w:tcW w:type="dxa" w:w="1984"/>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sz w:val="18"/>
              </w:rPr>
            </w:r>
          </w:p>
        </w:tc>
        <w:tc>
          <w:tcPr>
            <w:tcW w:type="dxa" w:w="1814"/>
            <w:vAlign w:val="center"/>
            <w:shd w:fill="FFF2C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sz w:val="18"/>
              </w:rPr>
              <w:t>TOTAL VENCIDO</w:t>
            </w:r>
          </w:p>
        </w:tc>
        <w:tc>
          <w:tcPr>
            <w:tcW w:type="dxa" w:w="1814"/>
            <w:vAlign w:val="center"/>
            <w:shd w:fill="FFF2C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sz w:val="18"/>
              </w:rPr>
              <w:t>$ 92.467,87</w:t>
            </w:r>
          </w:p>
        </w:tc>
      </w:tr>
    </w:tbl>
    <w:p>
      <w:pPr>
        <w:spacing w:after="200" w:before="0" w:line="276" w:lineRule="auto"/>
        <w:jc w:val="both"/>
      </w:pPr>
    </w:p>
    <w:p>
      <w:pPr>
        <w:spacing w:after="160" w:before="0" w:line="276" w:lineRule="auto"/>
        <w:jc w:val="both"/>
      </w:pPr>
      <w:r>
        <w:rPr>
          <w:rFonts w:ascii="Times New Roman" w:hAnsi="Times New Roman" w:eastAsia="Times New Roman"/>
          <w:b w:val="0"/>
          <w:sz w:val="18"/>
        </w:rPr>
        <w:t>Nota: Los valores del Anexo A corresponden a los saldos vencidos del reporte de antigüedad de cobros y suman exactamente $ 92.467,87, coincidente con el Total Vencido del mismo reporte.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