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5F9D" w14:textId="45A96DDD" w:rsidR="003904EC" w:rsidRPr="003904EC" w:rsidRDefault="003904EC" w:rsidP="003904EC">
      <w:pPr>
        <w:rPr>
          <w:b/>
          <w:bCs/>
          <w:sz w:val="32"/>
          <w:szCs w:val="32"/>
        </w:rPr>
      </w:pPr>
      <w:r w:rsidRPr="003904EC">
        <w:rPr>
          <w:b/>
          <w:bCs/>
          <w:sz w:val="32"/>
          <w:szCs w:val="32"/>
        </w:rPr>
        <w:t>1️</w:t>
      </w:r>
      <w:r w:rsidRPr="003904E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904EC">
        <w:rPr>
          <w:b/>
          <w:bCs/>
          <w:sz w:val="32"/>
          <w:szCs w:val="32"/>
        </w:rPr>
        <w:t xml:space="preserve"> GDPR-Compliant vs Non-Compliant </w:t>
      </w:r>
    </w:p>
    <w:p w14:paraId="3084F5A2" w14:textId="77777777" w:rsidR="003904EC" w:rsidRPr="003904EC" w:rsidRDefault="003904EC" w:rsidP="003904EC">
      <w:pPr>
        <w:jc w:val="center"/>
        <w:rPr>
          <w:b/>
          <w:bCs/>
        </w:rPr>
      </w:pPr>
      <w:r w:rsidRPr="003904EC">
        <w:rPr>
          <w:b/>
          <w:bCs/>
        </w:rPr>
        <w:t>1.1 Contexto</w:t>
      </w:r>
    </w:p>
    <w:p w14:paraId="77D01B65" w14:textId="77777777" w:rsidR="003904EC" w:rsidRPr="003904EC" w:rsidRDefault="003904EC" w:rsidP="003904EC">
      <w:r w:rsidRPr="003904EC">
        <w:t xml:space="preserve">En el Reglamento General de Protección de Datos (GDPR), el cumplimiento </w:t>
      </w:r>
      <w:r w:rsidRPr="003904EC">
        <w:rPr>
          <w:b/>
          <w:bCs/>
        </w:rPr>
        <w:t>no se evalúa a nivel de eventos aislados</w:t>
      </w:r>
      <w:r w:rsidRPr="003904EC">
        <w:t>, sino como:</w:t>
      </w:r>
    </w:p>
    <w:p w14:paraId="05B7DFD7" w14:textId="77777777" w:rsidR="003904EC" w:rsidRPr="003904EC" w:rsidRDefault="003904EC" w:rsidP="003904EC">
      <w:pPr>
        <w:rPr>
          <w:lang w:val="en-US"/>
        </w:rPr>
      </w:pPr>
      <w:r w:rsidRPr="003904EC">
        <w:rPr>
          <w:i/>
          <w:iCs/>
          <w:lang w:val="en-US"/>
        </w:rPr>
        <w:t>the conformance of data processing behavior with a set of legal, temporal and contextual obligations.</w:t>
      </w:r>
    </w:p>
    <w:p w14:paraId="7A12EF2D" w14:textId="77777777" w:rsidR="003904EC" w:rsidRPr="003904EC" w:rsidRDefault="003904EC" w:rsidP="003904EC">
      <w:r w:rsidRPr="003904EC">
        <w:t xml:space="preserve">En procesos reales (sanidad, banca, administración), estas obligaciones se materializan como </w:t>
      </w:r>
      <w:r w:rsidRPr="003904EC">
        <w:rPr>
          <w:b/>
          <w:bCs/>
        </w:rPr>
        <w:t>secuencias de acciones</w:t>
      </w:r>
      <w:r w:rsidRPr="003904EC">
        <w:t>: consentimiento, acceso, restricciones, derechos, borrado, etc.</w:t>
      </w:r>
    </w:p>
    <w:p w14:paraId="436E9AC4" w14:textId="77777777" w:rsidR="003904EC" w:rsidRPr="003904EC" w:rsidRDefault="003904EC" w:rsidP="003904EC">
      <w:r w:rsidRPr="003904EC">
        <w:t xml:space="preserve">Por tanto, </w:t>
      </w:r>
      <w:r w:rsidRPr="003904EC">
        <w:rPr>
          <w:b/>
          <w:bCs/>
        </w:rPr>
        <w:t>una traza de proceso</w:t>
      </w:r>
      <w:r w:rsidRPr="003904EC">
        <w:t xml:space="preserve"> puede analizarse desde dos perspectivas:</w:t>
      </w:r>
    </w:p>
    <w:p w14:paraId="05343024" w14:textId="77777777" w:rsidR="003904EC" w:rsidRPr="003904EC" w:rsidRDefault="003904EC" w:rsidP="003904EC">
      <w:pPr>
        <w:numPr>
          <w:ilvl w:val="0"/>
          <w:numId w:val="1"/>
        </w:numPr>
      </w:pPr>
      <w:r w:rsidRPr="003904EC">
        <w:rPr>
          <w:b/>
          <w:bCs/>
        </w:rPr>
        <w:t>Estructural (qué eventos existen y cómo se relacionan)</w:t>
      </w:r>
    </w:p>
    <w:p w14:paraId="0E7A9814" w14:textId="5353151B" w:rsidR="003904EC" w:rsidRPr="003904EC" w:rsidRDefault="003904EC" w:rsidP="003904EC">
      <w:pPr>
        <w:numPr>
          <w:ilvl w:val="0"/>
          <w:numId w:val="1"/>
        </w:numPr>
      </w:pPr>
      <w:r w:rsidRPr="003904EC">
        <w:rPr>
          <w:b/>
          <w:bCs/>
        </w:rPr>
        <w:t>Conductual (cómo se usan los datos a lo largo del tiempo)</w:t>
      </w:r>
    </w:p>
    <w:p w14:paraId="0ED614C6" w14:textId="6683E415" w:rsidR="003904EC" w:rsidRPr="003904EC" w:rsidRDefault="003904EC" w:rsidP="003904EC">
      <w:pPr>
        <w:jc w:val="center"/>
        <w:rPr>
          <w:b/>
          <w:bCs/>
          <w:lang w:val="en-US"/>
        </w:rPr>
      </w:pPr>
      <w:r w:rsidRPr="003904EC">
        <w:rPr>
          <w:b/>
          <w:bCs/>
          <w:lang w:val="en-US"/>
        </w:rPr>
        <w:t>1.2 GDPR-Compliant Trace</w:t>
      </w:r>
    </w:p>
    <w:p w14:paraId="45E7A7D3" w14:textId="77777777" w:rsidR="003904EC" w:rsidRPr="003904EC" w:rsidRDefault="003904EC" w:rsidP="003904EC">
      <w:pPr>
        <w:rPr>
          <w:lang w:val="en-US"/>
        </w:rPr>
      </w:pPr>
      <w:r w:rsidRPr="003904EC">
        <w:rPr>
          <w:b/>
          <w:bCs/>
          <w:lang w:val="en-US"/>
        </w:rPr>
        <w:t>A GDPR-compliant trace is a process execution enriched with explicit GDPR semantics that enables the verification of legal obligations such as consent, purpose limitation, accountability, data subject rights and processing restrictions.</w:t>
      </w:r>
    </w:p>
    <w:p w14:paraId="631E36D2" w14:textId="77777777" w:rsidR="003904EC" w:rsidRPr="003904EC" w:rsidRDefault="003904EC" w:rsidP="003904EC">
      <w:r w:rsidRPr="003904EC">
        <w:t>Puntos clave:</w:t>
      </w:r>
    </w:p>
    <w:p w14:paraId="192A0915" w14:textId="77777777" w:rsidR="003904EC" w:rsidRPr="003904EC" w:rsidRDefault="003904EC" w:rsidP="003904EC">
      <w:pPr>
        <w:numPr>
          <w:ilvl w:val="0"/>
          <w:numId w:val="2"/>
        </w:numPr>
      </w:pPr>
      <w:r w:rsidRPr="003904EC">
        <w:t>No significa “sin violaciones”</w:t>
      </w:r>
    </w:p>
    <w:p w14:paraId="7CAB2897" w14:textId="77777777" w:rsidR="003904EC" w:rsidRPr="003904EC" w:rsidRDefault="003904EC" w:rsidP="003904EC">
      <w:pPr>
        <w:numPr>
          <w:ilvl w:val="0"/>
          <w:numId w:val="2"/>
        </w:numPr>
      </w:pPr>
      <w:r w:rsidRPr="003904EC">
        <w:t xml:space="preserve">Significa </w:t>
      </w:r>
      <w:r w:rsidRPr="003904EC">
        <w:rPr>
          <w:b/>
          <w:bCs/>
        </w:rPr>
        <w:t>observable, auditable y verificable</w:t>
      </w:r>
    </w:p>
    <w:p w14:paraId="4D413160" w14:textId="0EBC0E34" w:rsidR="003904EC" w:rsidRPr="003904EC" w:rsidRDefault="003904EC" w:rsidP="003904EC">
      <w:pPr>
        <w:rPr>
          <w:b/>
          <w:bCs/>
        </w:rPr>
      </w:pPr>
      <w:r w:rsidRPr="003904EC">
        <w:rPr>
          <w:b/>
          <w:bCs/>
        </w:rPr>
        <w:t xml:space="preserve">En </w:t>
      </w:r>
      <w:r>
        <w:rPr>
          <w:b/>
          <w:bCs/>
        </w:rPr>
        <w:t>el</w:t>
      </w:r>
      <w:r w:rsidRPr="003904EC">
        <w:rPr>
          <w:b/>
          <w:bCs/>
        </w:rPr>
        <w:t xml:space="preserve"> proyecto, una traza </w:t>
      </w:r>
      <w:r w:rsidRPr="003904EC">
        <w:rPr>
          <w:b/>
          <w:bCs/>
          <w:i/>
          <w:iCs/>
        </w:rPr>
        <w:t>compliant</w:t>
      </w:r>
      <w:r w:rsidRPr="003904EC">
        <w:rPr>
          <w:b/>
          <w:bCs/>
        </w:rPr>
        <w:t>:</w:t>
      </w:r>
    </w:p>
    <w:p w14:paraId="591007EA" w14:textId="77777777" w:rsidR="003904EC" w:rsidRPr="003904EC" w:rsidRDefault="003904EC" w:rsidP="003904EC">
      <w:r w:rsidRPr="003904EC">
        <w:rPr>
          <w:rFonts w:ascii="Segoe UI Symbol" w:hAnsi="Segoe UI Symbol" w:cs="Segoe UI Symbol"/>
        </w:rPr>
        <w:t>✔</w:t>
      </w:r>
      <w:r w:rsidRPr="003904EC">
        <w:t xml:space="preserve"> Contiene eventos explícitos de GDPR</w:t>
      </w:r>
      <w:r w:rsidRPr="003904EC">
        <w:br/>
      </w:r>
      <w:r w:rsidRPr="003904EC">
        <w:rPr>
          <w:rFonts w:ascii="Segoe UI Symbol" w:hAnsi="Segoe UI Symbol" w:cs="Segoe UI Symbol"/>
        </w:rPr>
        <w:t>✔</w:t>
      </w:r>
      <w:r w:rsidRPr="003904EC">
        <w:t xml:space="preserve"> Cada acceso a datos est</w:t>
      </w:r>
      <w:r w:rsidRPr="003904EC">
        <w:rPr>
          <w:rFonts w:ascii="Aptos" w:hAnsi="Aptos" w:cs="Aptos"/>
        </w:rPr>
        <w:t>á</w:t>
      </w:r>
      <w:r w:rsidRPr="003904EC">
        <w:t>:</w:t>
      </w:r>
    </w:p>
    <w:p w14:paraId="570C8641" w14:textId="77777777" w:rsidR="003904EC" w:rsidRPr="003904EC" w:rsidRDefault="003904EC" w:rsidP="003904EC">
      <w:pPr>
        <w:numPr>
          <w:ilvl w:val="0"/>
          <w:numId w:val="3"/>
        </w:numPr>
      </w:pPr>
      <w:r w:rsidRPr="003904EC">
        <w:t>contextualizado (actor, propósito, tipo de acceso)</w:t>
      </w:r>
    </w:p>
    <w:p w14:paraId="16875B2F" w14:textId="77777777" w:rsidR="003904EC" w:rsidRPr="003904EC" w:rsidRDefault="003904EC" w:rsidP="003904EC">
      <w:pPr>
        <w:numPr>
          <w:ilvl w:val="0"/>
          <w:numId w:val="3"/>
        </w:numPr>
      </w:pPr>
      <w:r w:rsidRPr="003904EC">
        <w:t>trazado (accessLog)</w:t>
      </w:r>
      <w:r w:rsidRPr="003904EC">
        <w:br/>
      </w:r>
      <w:r w:rsidRPr="003904EC">
        <w:rPr>
          <w:rFonts w:ascii="Segoe UI Symbol" w:hAnsi="Segoe UI Symbol" w:cs="Segoe UI Symbol"/>
        </w:rPr>
        <w:t>✔</w:t>
      </w:r>
      <w:r w:rsidRPr="003904EC">
        <w:t xml:space="preserve"> Permite evaluar art</w:t>
      </w:r>
      <w:r w:rsidRPr="003904EC">
        <w:rPr>
          <w:rFonts w:ascii="Aptos" w:hAnsi="Aptos" w:cs="Aptos"/>
        </w:rPr>
        <w:t>í</w:t>
      </w:r>
      <w:r w:rsidRPr="003904EC">
        <w:t>culos como:</w:t>
      </w:r>
    </w:p>
    <w:p w14:paraId="61C1DF4E" w14:textId="77777777" w:rsidR="003904EC" w:rsidRPr="003904EC" w:rsidRDefault="003904EC" w:rsidP="003904EC">
      <w:pPr>
        <w:numPr>
          <w:ilvl w:val="0"/>
          <w:numId w:val="3"/>
        </w:numPr>
      </w:pPr>
      <w:r w:rsidRPr="003904EC">
        <w:t>Art. 6 (lawfulness)</w:t>
      </w:r>
    </w:p>
    <w:p w14:paraId="65A0AD3E" w14:textId="77777777" w:rsidR="003904EC" w:rsidRPr="003904EC" w:rsidRDefault="003904EC" w:rsidP="003904EC">
      <w:pPr>
        <w:numPr>
          <w:ilvl w:val="0"/>
          <w:numId w:val="3"/>
        </w:numPr>
      </w:pPr>
      <w:r w:rsidRPr="003904EC">
        <w:t>Art. 5(1)(b) (purpose limitation)</w:t>
      </w:r>
    </w:p>
    <w:p w14:paraId="602311AB" w14:textId="77777777" w:rsidR="003904EC" w:rsidRPr="003904EC" w:rsidRDefault="003904EC" w:rsidP="003904EC">
      <w:pPr>
        <w:numPr>
          <w:ilvl w:val="0"/>
          <w:numId w:val="3"/>
        </w:numPr>
      </w:pPr>
      <w:r w:rsidRPr="003904EC">
        <w:t>Art. 30 (records of processing)</w:t>
      </w:r>
    </w:p>
    <w:p w14:paraId="3C69A769" w14:textId="77777777" w:rsidR="003904EC" w:rsidRPr="003904EC" w:rsidRDefault="003904EC" w:rsidP="003904EC">
      <w:pPr>
        <w:numPr>
          <w:ilvl w:val="0"/>
          <w:numId w:val="3"/>
        </w:numPr>
      </w:pPr>
      <w:r w:rsidRPr="003904EC">
        <w:t>Art. 32–34 (accountability, breaches)</w:t>
      </w:r>
    </w:p>
    <w:p w14:paraId="3C483C43" w14:textId="77777777" w:rsidR="003904EC" w:rsidRPr="003904EC" w:rsidRDefault="003904EC" w:rsidP="003904EC">
      <w:r w:rsidRPr="003904EC">
        <w:rPr>
          <w:rFonts w:ascii="Segoe UI Emoji" w:hAnsi="Segoe UI Emoji" w:cs="Segoe UI Emoji"/>
        </w:rPr>
        <w:lastRenderedPageBreak/>
        <w:t>💡</w:t>
      </w:r>
      <w:r w:rsidRPr="003904EC">
        <w:t xml:space="preserve"> Importante:</w:t>
      </w:r>
    </w:p>
    <w:p w14:paraId="47398F9F" w14:textId="56858896" w:rsidR="003904EC" w:rsidRPr="003904EC" w:rsidRDefault="003904EC" w:rsidP="003904EC">
      <w:r w:rsidRPr="003904EC">
        <w:t xml:space="preserve">Una traza compliant </w:t>
      </w:r>
      <w:r w:rsidRPr="003904EC">
        <w:rPr>
          <w:b/>
          <w:bCs/>
        </w:rPr>
        <w:t>puede revelar violaciones reales</w:t>
      </w:r>
      <w:r w:rsidRPr="003904EC">
        <w:t>, y eso es deseable desde el punto de vista de auditoría.</w:t>
      </w:r>
    </w:p>
    <w:p w14:paraId="0561C030" w14:textId="55C6B54B" w:rsidR="003904EC" w:rsidRPr="003904EC" w:rsidRDefault="003904EC" w:rsidP="003904EC">
      <w:pPr>
        <w:jc w:val="center"/>
        <w:rPr>
          <w:b/>
          <w:bCs/>
          <w:lang w:val="en-US"/>
        </w:rPr>
      </w:pPr>
      <w:r w:rsidRPr="003904EC">
        <w:rPr>
          <w:b/>
          <w:bCs/>
          <w:lang w:val="en-US"/>
        </w:rPr>
        <w:t>1.3 GDPR Non-Compliant Trace</w:t>
      </w:r>
    </w:p>
    <w:p w14:paraId="1216B733" w14:textId="77777777" w:rsidR="003904EC" w:rsidRPr="003904EC" w:rsidRDefault="003904EC" w:rsidP="003904EC">
      <w:pPr>
        <w:rPr>
          <w:lang w:val="en-US"/>
        </w:rPr>
      </w:pPr>
      <w:r w:rsidRPr="003904EC">
        <w:rPr>
          <w:b/>
          <w:bCs/>
          <w:lang w:val="en-US"/>
        </w:rPr>
        <w:t>A GDPR non-compliant trace represents a process execution in which one or more GDPR obligations are deliberately violated, either by omission, temporal inconsistency or contextual misuse of personal data.</w:t>
      </w:r>
    </w:p>
    <w:p w14:paraId="0C7ED721" w14:textId="3CAD7C3C" w:rsidR="003904EC" w:rsidRPr="003904EC" w:rsidRDefault="003904EC" w:rsidP="003904EC">
      <w:r w:rsidRPr="003904EC">
        <w:t xml:space="preserve">En </w:t>
      </w:r>
      <w:r>
        <w:t>el</w:t>
      </w:r>
      <w:r w:rsidRPr="003904EC">
        <w:t xml:space="preserve"> proyecto:</w:t>
      </w:r>
    </w:p>
    <w:p w14:paraId="790FB7EB" w14:textId="77777777" w:rsidR="003904EC" w:rsidRPr="003904EC" w:rsidRDefault="003904EC" w:rsidP="003904EC">
      <w:pPr>
        <w:numPr>
          <w:ilvl w:val="0"/>
          <w:numId w:val="4"/>
        </w:numPr>
      </w:pPr>
      <w:r w:rsidRPr="003904EC">
        <w:t>No es un log “real”</w:t>
      </w:r>
    </w:p>
    <w:p w14:paraId="6B0FB5A5" w14:textId="77777777" w:rsidR="003904EC" w:rsidRPr="003904EC" w:rsidRDefault="003904EC" w:rsidP="003904EC">
      <w:pPr>
        <w:numPr>
          <w:ilvl w:val="0"/>
          <w:numId w:val="4"/>
        </w:numPr>
      </w:pPr>
      <w:r w:rsidRPr="003904EC">
        <w:t xml:space="preserve">Es una </w:t>
      </w:r>
      <w:r w:rsidRPr="003904EC">
        <w:rPr>
          <w:b/>
          <w:bCs/>
        </w:rPr>
        <w:t>mutación controlada</w:t>
      </w:r>
      <w:r w:rsidRPr="003904EC">
        <w:t xml:space="preserve"> de una traza compliant</w:t>
      </w:r>
    </w:p>
    <w:p w14:paraId="54B85DC5" w14:textId="77777777" w:rsidR="003904EC" w:rsidRPr="003904EC" w:rsidRDefault="003904EC" w:rsidP="003904EC">
      <w:pPr>
        <w:numPr>
          <w:ilvl w:val="0"/>
          <w:numId w:val="4"/>
        </w:numPr>
      </w:pPr>
      <w:r w:rsidRPr="003904EC">
        <w:t>Sirve para:</w:t>
      </w:r>
    </w:p>
    <w:p w14:paraId="3FF23EE2" w14:textId="77777777" w:rsidR="003904EC" w:rsidRPr="003904EC" w:rsidRDefault="003904EC" w:rsidP="003904EC">
      <w:pPr>
        <w:numPr>
          <w:ilvl w:val="1"/>
          <w:numId w:val="4"/>
        </w:numPr>
      </w:pPr>
      <w:r w:rsidRPr="003904EC">
        <w:t>validación de detectores</w:t>
      </w:r>
    </w:p>
    <w:p w14:paraId="4B6348A8" w14:textId="77777777" w:rsidR="003904EC" w:rsidRPr="003904EC" w:rsidRDefault="003904EC" w:rsidP="003904EC">
      <w:pPr>
        <w:numPr>
          <w:ilvl w:val="1"/>
          <w:numId w:val="4"/>
        </w:numPr>
      </w:pPr>
      <w:r w:rsidRPr="003904EC">
        <w:t>experimentación</w:t>
      </w:r>
    </w:p>
    <w:p w14:paraId="3AE725BB" w14:textId="77777777" w:rsidR="003904EC" w:rsidRPr="003904EC" w:rsidRDefault="003904EC" w:rsidP="003904EC">
      <w:pPr>
        <w:numPr>
          <w:ilvl w:val="1"/>
          <w:numId w:val="4"/>
        </w:numPr>
      </w:pPr>
      <w:r w:rsidRPr="003904EC">
        <w:t>generación de datasets sintéticos</w:t>
      </w:r>
    </w:p>
    <w:p w14:paraId="509F4276" w14:textId="77777777" w:rsidR="003904EC" w:rsidRPr="003904EC" w:rsidRDefault="003904EC" w:rsidP="003904EC">
      <w:pPr>
        <w:rPr>
          <w:b/>
          <w:bCs/>
        </w:rPr>
      </w:pPr>
      <w:r w:rsidRPr="003904EC">
        <w:rPr>
          <w:b/>
          <w:bCs/>
        </w:rPr>
        <w:t>Tipos de no-cumplimiento que modelas</w:t>
      </w:r>
    </w:p>
    <w:p w14:paraId="08C5864E" w14:textId="77777777" w:rsidR="003904EC" w:rsidRPr="003904EC" w:rsidRDefault="003904EC" w:rsidP="003904EC">
      <w:pPr>
        <w:numPr>
          <w:ilvl w:val="0"/>
          <w:numId w:val="5"/>
        </w:numPr>
      </w:pPr>
      <w:r w:rsidRPr="003904EC">
        <w:t>Acceso sin consentimiento</w:t>
      </w:r>
    </w:p>
    <w:p w14:paraId="1CBE2538" w14:textId="77777777" w:rsidR="003904EC" w:rsidRPr="003904EC" w:rsidRDefault="003904EC" w:rsidP="003904EC">
      <w:pPr>
        <w:numPr>
          <w:ilvl w:val="0"/>
          <w:numId w:val="5"/>
        </w:numPr>
      </w:pPr>
      <w:r w:rsidRPr="003904EC">
        <w:t>Acceso tras retirada</w:t>
      </w:r>
    </w:p>
    <w:p w14:paraId="45A6A8BD" w14:textId="77777777" w:rsidR="003904EC" w:rsidRPr="003904EC" w:rsidRDefault="003904EC" w:rsidP="003904EC">
      <w:pPr>
        <w:numPr>
          <w:ilvl w:val="0"/>
          <w:numId w:val="5"/>
        </w:numPr>
      </w:pPr>
      <w:r w:rsidRPr="003904EC">
        <w:t>Acceso durante restricción</w:t>
      </w:r>
    </w:p>
    <w:p w14:paraId="25A43ADF" w14:textId="77777777" w:rsidR="003904EC" w:rsidRPr="003904EC" w:rsidRDefault="003904EC" w:rsidP="003904EC">
      <w:pPr>
        <w:numPr>
          <w:ilvl w:val="0"/>
          <w:numId w:val="5"/>
        </w:numPr>
      </w:pPr>
      <w:r w:rsidRPr="003904EC">
        <w:t>Uso con propósito no autorizado</w:t>
      </w:r>
    </w:p>
    <w:p w14:paraId="2873392E" w14:textId="77777777" w:rsidR="003904EC" w:rsidRPr="003904EC" w:rsidRDefault="003904EC" w:rsidP="003904EC">
      <w:pPr>
        <w:numPr>
          <w:ilvl w:val="0"/>
          <w:numId w:val="5"/>
        </w:numPr>
      </w:pPr>
      <w:r w:rsidRPr="003904EC">
        <w:t>Borrado incorrecto</w:t>
      </w:r>
    </w:p>
    <w:p w14:paraId="67656E14" w14:textId="77777777" w:rsidR="003904EC" w:rsidRPr="003904EC" w:rsidRDefault="003904EC" w:rsidP="003904EC">
      <w:pPr>
        <w:numPr>
          <w:ilvl w:val="0"/>
          <w:numId w:val="5"/>
        </w:numPr>
      </w:pPr>
      <w:r w:rsidRPr="003904EC">
        <w:t>Falta de respuesta a derechos</w:t>
      </w:r>
    </w:p>
    <w:p w14:paraId="48D3463D" w14:textId="4BB184F5" w:rsidR="003904EC" w:rsidRPr="003904EC" w:rsidRDefault="003904EC" w:rsidP="003904EC">
      <w:pPr>
        <w:numPr>
          <w:ilvl w:val="0"/>
          <w:numId w:val="5"/>
        </w:numPr>
      </w:pPr>
      <w:r w:rsidRPr="003904EC">
        <w:t>Violaciones de minimización</w:t>
      </w:r>
    </w:p>
    <w:p w14:paraId="6C3A7FA1" w14:textId="4D9A3ACE" w:rsidR="003904EC" w:rsidRPr="003904EC" w:rsidRDefault="003904EC" w:rsidP="003904EC">
      <w:pPr>
        <w:jc w:val="center"/>
        <w:rPr>
          <w:b/>
          <w:bCs/>
        </w:rPr>
      </w:pPr>
      <w:r w:rsidRPr="003904EC">
        <w:rPr>
          <w:b/>
          <w:bCs/>
        </w:rPr>
        <w:t>1.4 Diferencia clave</w:t>
      </w:r>
    </w:p>
    <w:p w14:paraId="70A2E1E1" w14:textId="30CEC2A9" w:rsidR="00516973" w:rsidRPr="003904EC" w:rsidRDefault="003904EC">
      <w:pPr>
        <w:rPr>
          <w:lang w:val="en-US"/>
        </w:rPr>
      </w:pPr>
      <w:r w:rsidRPr="003904EC">
        <w:rPr>
          <w:i/>
          <w:iCs/>
          <w:lang w:val="en-US"/>
        </w:rPr>
        <w:t>Compliance refers to the availability of sufficient semantic information to verify legal obligations, whereas non-compliance refers to the violation of such obligations.</w:t>
      </w:r>
    </w:p>
    <w:sectPr w:rsidR="00516973" w:rsidRPr="003904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AF7"/>
    <w:multiLevelType w:val="multilevel"/>
    <w:tmpl w:val="5E4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36568"/>
    <w:multiLevelType w:val="multilevel"/>
    <w:tmpl w:val="305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0E3E"/>
    <w:multiLevelType w:val="multilevel"/>
    <w:tmpl w:val="47D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47EDD"/>
    <w:multiLevelType w:val="multilevel"/>
    <w:tmpl w:val="85E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1081"/>
    <w:multiLevelType w:val="multilevel"/>
    <w:tmpl w:val="91F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F00AF"/>
    <w:multiLevelType w:val="multilevel"/>
    <w:tmpl w:val="B97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8717">
    <w:abstractNumId w:val="5"/>
  </w:num>
  <w:num w:numId="2" w16cid:durableId="188875646">
    <w:abstractNumId w:val="2"/>
  </w:num>
  <w:num w:numId="3" w16cid:durableId="1881283159">
    <w:abstractNumId w:val="1"/>
  </w:num>
  <w:num w:numId="4" w16cid:durableId="438372353">
    <w:abstractNumId w:val="4"/>
  </w:num>
  <w:num w:numId="5" w16cid:durableId="527374270">
    <w:abstractNumId w:val="3"/>
  </w:num>
  <w:num w:numId="6" w16cid:durableId="55531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EC"/>
    <w:rsid w:val="003904EC"/>
    <w:rsid w:val="00516973"/>
    <w:rsid w:val="00561CA9"/>
    <w:rsid w:val="00822033"/>
    <w:rsid w:val="00A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F5009"/>
  <w15:chartTrackingRefBased/>
  <w15:docId w15:val="{ADDC988C-197B-48FC-A143-E22EB71E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4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4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4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4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4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Aguilar Pla</dc:creator>
  <cp:keywords/>
  <dc:description/>
  <cp:lastModifiedBy>Andrés Aguilar Pla</cp:lastModifiedBy>
  <cp:revision>1</cp:revision>
  <dcterms:created xsi:type="dcterms:W3CDTF">2026-01-27T15:07:00Z</dcterms:created>
  <dcterms:modified xsi:type="dcterms:W3CDTF">2026-01-27T15:09:00Z</dcterms:modified>
</cp:coreProperties>
</file>