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1AAD6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>1. GDPR-</w:t>
      </w:r>
      <w:proofErr w:type="spellStart"/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>Compliant</w:t>
      </w:r>
      <w:proofErr w:type="spellEnd"/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 xml:space="preserve"> vs Non-</w:t>
      </w:r>
      <w:proofErr w:type="spellStart"/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>Compliant</w:t>
      </w:r>
      <w:proofErr w:type="spellEnd"/>
    </w:p>
    <w:p w14:paraId="4933B094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>1.1 Contexto</w:t>
      </w:r>
    </w:p>
    <w:p w14:paraId="5F09F9A0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En el Reglamento General de Protección de Datos (GDPR), el cumplimiento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no se evalúa en función de eventos aislados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, sino como </w:t>
      </w:r>
      <w:r w:rsidRPr="003B6130">
        <w:rPr>
          <w:rFonts w:ascii="Segoe UI" w:eastAsia="Times New Roman" w:hAnsi="Segoe UI" w:cs="Segoe UI"/>
          <w:i/>
          <w:iCs/>
          <w:kern w:val="0"/>
          <w:bdr w:val="single" w:sz="2" w:space="0" w:color="auto" w:frame="1"/>
          <w:lang w:eastAsia="es-ES"/>
          <w14:ligatures w14:val="none"/>
        </w:rPr>
        <w:t>la conformidad del comportamiento de procesamiento de datos con un conjunto de obligaciones legales, temporales y contextuales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.</w:t>
      </w:r>
    </w:p>
    <w:p w14:paraId="1CBA637E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En procesos reales —como en los ámbitos sanitario, bancario o administrativo— dichas obligaciones se materializan en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secuencias de acciones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 tales como obtención de consentimiento, acceso a datos, aplicación de restricciones, ejercicio de derechos o eliminación de información personal.</w:t>
      </w:r>
    </w:p>
    <w:p w14:paraId="35878F9F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Por tanto, una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traza de proceso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 puede analizarse desde dos perspectivas complementarias:</w:t>
      </w:r>
    </w:p>
    <w:p w14:paraId="2C9D9F1B" w14:textId="77777777" w:rsidR="003B6130" w:rsidRPr="003B6130" w:rsidRDefault="003B6130" w:rsidP="003B6130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Estructural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: identifica qué eventos existen y cómo se relacionan entre sí.</w:t>
      </w:r>
    </w:p>
    <w:p w14:paraId="35ED8834" w14:textId="77777777" w:rsidR="003B6130" w:rsidRPr="003B6130" w:rsidRDefault="003B6130" w:rsidP="003B6130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Conductual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: examina cómo se utilizan los datos personales a lo largo del tiempo.</w:t>
      </w:r>
    </w:p>
    <w:p w14:paraId="748F11F9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>1.2 GDPR-</w:t>
      </w:r>
      <w:proofErr w:type="spellStart"/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>Compliant</w:t>
      </w:r>
      <w:proofErr w:type="spellEnd"/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 xml:space="preserve"> Trace</w:t>
      </w:r>
    </w:p>
    <w:p w14:paraId="2FB16A8E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Una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traza conforme al GDPR (GDPR-</w:t>
      </w:r>
      <w:proofErr w:type="spellStart"/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compliant</w:t>
      </w:r>
      <w:proofErr w:type="spellEnd"/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 xml:space="preserve"> trace)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 corresponde a una ejecución de proceso enriquecida con semánticas explícitas del reglamento, lo que permite verificar obligaciones legales como el consentimiento, la limitación de propósito, la rendición de cuentas (</w:t>
      </w:r>
      <w:proofErr w:type="spellStart"/>
      <w:r w:rsidRPr="003B6130">
        <w:rPr>
          <w:rFonts w:ascii="Segoe UI" w:eastAsia="Times New Roman" w:hAnsi="Segoe UI" w:cs="Segoe UI"/>
          <w:i/>
          <w:iCs/>
          <w:kern w:val="0"/>
          <w:bdr w:val="single" w:sz="2" w:space="0" w:color="auto" w:frame="1"/>
          <w:lang w:eastAsia="es-ES"/>
          <w14:ligatures w14:val="none"/>
        </w:rPr>
        <w:t>accountability</w:t>
      </w:r>
      <w:proofErr w:type="spellEnd"/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), los derechos del interesado y las restricciones de tratamiento.</w:t>
      </w:r>
    </w:p>
    <w:p w14:paraId="44518F0B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>Características principales</w:t>
      </w:r>
    </w:p>
    <w:p w14:paraId="07E98173" w14:textId="77777777" w:rsidR="003B6130" w:rsidRPr="003B6130" w:rsidRDefault="003B6130" w:rsidP="003B6130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No implica ausencia de violaciones, sino que la traza es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observable, auditable y verificable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.</w:t>
      </w:r>
    </w:p>
    <w:p w14:paraId="2417D433" w14:textId="77777777" w:rsidR="003B6130" w:rsidRPr="003B6130" w:rsidRDefault="003B6130" w:rsidP="003B6130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En el proyecto, una traza </w:t>
      </w:r>
      <w:proofErr w:type="spellStart"/>
      <w:r w:rsidRPr="003B6130">
        <w:rPr>
          <w:rFonts w:ascii="Segoe UI" w:eastAsia="Times New Roman" w:hAnsi="Segoe UI" w:cs="Segoe UI"/>
          <w:i/>
          <w:iCs/>
          <w:kern w:val="0"/>
          <w:bdr w:val="single" w:sz="2" w:space="0" w:color="auto" w:frame="1"/>
          <w:lang w:eastAsia="es-ES"/>
          <w14:ligatures w14:val="none"/>
        </w:rPr>
        <w:t>compliant</w:t>
      </w:r>
      <w:proofErr w:type="spellEnd"/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:</w:t>
      </w:r>
    </w:p>
    <w:p w14:paraId="41345D94" w14:textId="77777777" w:rsidR="003B6130" w:rsidRPr="003B6130" w:rsidRDefault="003B6130" w:rsidP="003B6130">
      <w:pPr>
        <w:numPr>
          <w:ilvl w:val="1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Contiene eventos explícitos de GDPR.</w:t>
      </w:r>
    </w:p>
    <w:p w14:paraId="10F6C153" w14:textId="77777777" w:rsidR="003B6130" w:rsidRPr="003B6130" w:rsidRDefault="003B6130" w:rsidP="003B6130">
      <w:pPr>
        <w:numPr>
          <w:ilvl w:val="1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Cada acceso a datos está:</w:t>
      </w:r>
    </w:p>
    <w:p w14:paraId="6563365C" w14:textId="77777777" w:rsidR="003B6130" w:rsidRPr="003B6130" w:rsidRDefault="003B6130" w:rsidP="003B6130">
      <w:pPr>
        <w:numPr>
          <w:ilvl w:val="2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Contextualizado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 (actor, propósito, tipo de acceso).</w:t>
      </w:r>
    </w:p>
    <w:p w14:paraId="2A2963E1" w14:textId="77777777" w:rsidR="003B6130" w:rsidRPr="003B6130" w:rsidRDefault="003B6130" w:rsidP="003B6130">
      <w:pPr>
        <w:numPr>
          <w:ilvl w:val="2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Trazado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 mediante registros de acceso (</w:t>
      </w:r>
      <w:proofErr w:type="spellStart"/>
      <w:r w:rsidRPr="003B6130">
        <w:rPr>
          <w:rFonts w:ascii="Segoe UI" w:eastAsia="Times New Roman" w:hAnsi="Segoe UI" w:cs="Segoe UI"/>
          <w:i/>
          <w:iCs/>
          <w:kern w:val="0"/>
          <w:bdr w:val="single" w:sz="2" w:space="0" w:color="auto" w:frame="1"/>
          <w:lang w:eastAsia="es-ES"/>
          <w14:ligatures w14:val="none"/>
        </w:rPr>
        <w:t>access</w:t>
      </w:r>
      <w:proofErr w:type="spellEnd"/>
      <w:r w:rsidRPr="003B6130">
        <w:rPr>
          <w:rFonts w:ascii="Segoe UI" w:eastAsia="Times New Roman" w:hAnsi="Segoe UI" w:cs="Segoe UI"/>
          <w:i/>
          <w:iCs/>
          <w:kern w:val="0"/>
          <w:bdr w:val="single" w:sz="2" w:space="0" w:color="auto" w:frame="1"/>
          <w:lang w:eastAsia="es-ES"/>
          <w14:ligatures w14:val="none"/>
        </w:rPr>
        <w:t xml:space="preserve"> logs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).</w:t>
      </w:r>
    </w:p>
    <w:p w14:paraId="10E97D44" w14:textId="77777777" w:rsidR="003B6130" w:rsidRPr="003B6130" w:rsidRDefault="003B6130" w:rsidP="003B6130">
      <w:pPr>
        <w:numPr>
          <w:ilvl w:val="1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Permite evaluar artículos específicos del reglamento, como:</w:t>
      </w:r>
    </w:p>
    <w:p w14:paraId="68775AF7" w14:textId="77777777" w:rsidR="003B6130" w:rsidRPr="003B6130" w:rsidRDefault="003B6130" w:rsidP="003B6130">
      <w:pPr>
        <w:numPr>
          <w:ilvl w:val="2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Art. 6: Licitud del tratamiento.</w:t>
      </w:r>
    </w:p>
    <w:p w14:paraId="45E99796" w14:textId="77777777" w:rsidR="003B6130" w:rsidRPr="003B6130" w:rsidRDefault="003B6130" w:rsidP="003B6130">
      <w:pPr>
        <w:numPr>
          <w:ilvl w:val="2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Art. 5(1)(b): Limitación del propósito.</w:t>
      </w:r>
    </w:p>
    <w:p w14:paraId="2D6937E0" w14:textId="77777777" w:rsidR="003B6130" w:rsidRPr="003B6130" w:rsidRDefault="003B6130" w:rsidP="003B6130">
      <w:pPr>
        <w:numPr>
          <w:ilvl w:val="2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Art. 30: Registro de actividades de tratamiento.</w:t>
      </w:r>
    </w:p>
    <w:p w14:paraId="389152CF" w14:textId="77777777" w:rsidR="003B6130" w:rsidRPr="003B6130" w:rsidRDefault="003B6130" w:rsidP="003B6130">
      <w:pPr>
        <w:numPr>
          <w:ilvl w:val="2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lastRenderedPageBreak/>
        <w:t>Arts. 32–34: Responsabilidad y gestión de brechas de seguridad.</w:t>
      </w:r>
    </w:p>
    <w:p w14:paraId="3A229F26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💡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Nota: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 Una traza </w:t>
      </w:r>
      <w:proofErr w:type="spellStart"/>
      <w:r w:rsidRPr="003B6130">
        <w:rPr>
          <w:rFonts w:ascii="Segoe UI" w:eastAsia="Times New Roman" w:hAnsi="Segoe UI" w:cs="Segoe UI"/>
          <w:i/>
          <w:iCs/>
          <w:kern w:val="0"/>
          <w:bdr w:val="single" w:sz="2" w:space="0" w:color="auto" w:frame="1"/>
          <w:lang w:eastAsia="es-ES"/>
          <w14:ligatures w14:val="none"/>
        </w:rPr>
        <w:t>compliant</w:t>
      </w:r>
      <w:proofErr w:type="spellEnd"/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 puede revelar violaciones reales, lo cual es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deseable desde la perspectiva de auditoría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, ya que proporciona evidencia verificable del comportamiento del sistema.</w:t>
      </w:r>
    </w:p>
    <w:p w14:paraId="5D404760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>1.3 GDPR Non-</w:t>
      </w:r>
      <w:proofErr w:type="spellStart"/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>Compliant</w:t>
      </w:r>
      <w:proofErr w:type="spellEnd"/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 xml:space="preserve"> Trace</w:t>
      </w:r>
    </w:p>
    <w:p w14:paraId="05FF0E29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Una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traza no conforme (GDPR non-</w:t>
      </w:r>
      <w:proofErr w:type="spellStart"/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compliant</w:t>
      </w:r>
      <w:proofErr w:type="spellEnd"/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 xml:space="preserve"> trace)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 representa una ejecución de proceso en la que una o más obligaciones del reglamento son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deliberadamente vulneradas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, ya sea por omisión, inconsistencia temporal o uso indebido contextual de los datos personales.</w:t>
      </w:r>
    </w:p>
    <w:p w14:paraId="24CEFE08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En el proyecto, este tipo de trazas:</w:t>
      </w:r>
    </w:p>
    <w:p w14:paraId="33F44928" w14:textId="77777777" w:rsidR="003B6130" w:rsidRPr="003B6130" w:rsidRDefault="003B6130" w:rsidP="003B6130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No constituye un registro real (</w:t>
      </w:r>
      <w:r w:rsidRPr="003B6130">
        <w:rPr>
          <w:rFonts w:ascii="Segoe UI" w:eastAsia="Times New Roman" w:hAnsi="Segoe UI" w:cs="Segoe UI"/>
          <w:i/>
          <w:iCs/>
          <w:kern w:val="0"/>
          <w:bdr w:val="single" w:sz="2" w:space="0" w:color="auto" w:frame="1"/>
          <w:lang w:eastAsia="es-ES"/>
          <w14:ligatures w14:val="none"/>
        </w:rPr>
        <w:t>log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).</w:t>
      </w:r>
    </w:p>
    <w:p w14:paraId="3DA74B9D" w14:textId="77777777" w:rsidR="003B6130" w:rsidRPr="003B6130" w:rsidRDefault="003B6130" w:rsidP="003B6130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Es una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mutación controlada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 de una traza </w:t>
      </w:r>
      <w:proofErr w:type="spellStart"/>
      <w:r w:rsidRPr="003B6130">
        <w:rPr>
          <w:rFonts w:ascii="Segoe UI" w:eastAsia="Times New Roman" w:hAnsi="Segoe UI" w:cs="Segoe UI"/>
          <w:i/>
          <w:iCs/>
          <w:kern w:val="0"/>
          <w:bdr w:val="single" w:sz="2" w:space="0" w:color="auto" w:frame="1"/>
          <w:lang w:eastAsia="es-ES"/>
          <w14:ligatures w14:val="none"/>
        </w:rPr>
        <w:t>compliant</w:t>
      </w:r>
      <w:proofErr w:type="spellEnd"/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.</w:t>
      </w:r>
    </w:p>
    <w:p w14:paraId="560C95D5" w14:textId="77777777" w:rsidR="003B6130" w:rsidRPr="003B6130" w:rsidRDefault="003B6130" w:rsidP="003B6130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Se utiliza para:</w:t>
      </w:r>
    </w:p>
    <w:p w14:paraId="3BDCF761" w14:textId="77777777" w:rsidR="003B6130" w:rsidRPr="003B6130" w:rsidRDefault="003B6130" w:rsidP="003B6130">
      <w:pPr>
        <w:numPr>
          <w:ilvl w:val="1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Validación de detectores automáticos.</w:t>
      </w:r>
    </w:p>
    <w:p w14:paraId="270B0667" w14:textId="77777777" w:rsidR="003B6130" w:rsidRPr="003B6130" w:rsidRDefault="003B6130" w:rsidP="003B6130">
      <w:pPr>
        <w:numPr>
          <w:ilvl w:val="1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Experimentación y evaluación de rendimiento.</w:t>
      </w:r>
    </w:p>
    <w:p w14:paraId="6D015FCD" w14:textId="77777777" w:rsidR="003B6130" w:rsidRPr="003B6130" w:rsidRDefault="003B6130" w:rsidP="003B6130">
      <w:pPr>
        <w:numPr>
          <w:ilvl w:val="1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Generación de conjuntos de datos sintéticos.</w:t>
      </w:r>
    </w:p>
    <w:p w14:paraId="68C53920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>Tipos de no conformidad modelados</w:t>
      </w:r>
    </w:p>
    <w:p w14:paraId="712D71FD" w14:textId="77777777" w:rsidR="003B6130" w:rsidRPr="003B6130" w:rsidRDefault="003B6130" w:rsidP="003B6130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9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Acceso sin consentimiento.</w:t>
      </w:r>
    </w:p>
    <w:p w14:paraId="777AF04A" w14:textId="77777777" w:rsidR="003B6130" w:rsidRPr="003B6130" w:rsidRDefault="003B6130" w:rsidP="003B6130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9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Acceso tras la retirada del consentimiento.</w:t>
      </w:r>
    </w:p>
    <w:p w14:paraId="426150FA" w14:textId="77777777" w:rsidR="003B6130" w:rsidRPr="003B6130" w:rsidRDefault="003B6130" w:rsidP="003B6130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9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Acceso durante un período de restricción.</w:t>
      </w:r>
    </w:p>
    <w:p w14:paraId="2A6C57AB" w14:textId="77777777" w:rsidR="003B6130" w:rsidRPr="003B6130" w:rsidRDefault="003B6130" w:rsidP="003B6130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9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Uso con propósito no autorizado.</w:t>
      </w:r>
    </w:p>
    <w:p w14:paraId="196C1497" w14:textId="77777777" w:rsidR="003B6130" w:rsidRPr="003B6130" w:rsidRDefault="003B6130" w:rsidP="003B6130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9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Eliminación incorrecta de datos.</w:t>
      </w:r>
    </w:p>
    <w:p w14:paraId="625E93AF" w14:textId="77777777" w:rsidR="003B6130" w:rsidRPr="003B6130" w:rsidRDefault="003B6130" w:rsidP="003B6130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9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Falta de respuesta a solicitudes de derechos.</w:t>
      </w:r>
    </w:p>
    <w:p w14:paraId="61548E91" w14:textId="77777777" w:rsidR="003B6130" w:rsidRPr="003B6130" w:rsidRDefault="003B6130" w:rsidP="003B6130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9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Violaciones del principio de minimización.</w:t>
      </w:r>
    </w:p>
    <w:p w14:paraId="03EE4365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s-ES"/>
          <w14:ligatures w14:val="none"/>
        </w:rPr>
        <w:t>1.4 Diferencia clave</w:t>
      </w:r>
    </w:p>
    <w:p w14:paraId="669C30B0" w14:textId="77777777" w:rsidR="003B6130" w:rsidRPr="003B6130" w:rsidRDefault="003B6130" w:rsidP="003B613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s-ES"/>
          <w14:ligatures w14:val="none"/>
        </w:rPr>
      </w:pP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En términos conceptuales,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el cumplimiento (</w:t>
      </w:r>
      <w:proofErr w:type="spellStart"/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compliance</w:t>
      </w:r>
      <w:proofErr w:type="spellEnd"/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)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 se refiere a la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disponibilidad de información semántica suficiente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 para verificar las obligaciones legales.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br/>
        <w:t>Por el contrario,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la no conformidad (non-</w:t>
      </w:r>
      <w:proofErr w:type="spellStart"/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compliance</w:t>
      </w:r>
      <w:proofErr w:type="spellEnd"/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)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 implica la </w:t>
      </w:r>
      <w:r w:rsidRPr="003B6130">
        <w:rPr>
          <w:rFonts w:ascii="Segoe UI" w:eastAsia="Times New Roman" w:hAnsi="Segoe UI" w:cs="Segoe UI"/>
          <w:kern w:val="0"/>
          <w:bdr w:val="single" w:sz="2" w:space="0" w:color="auto" w:frame="1"/>
          <w:lang w:eastAsia="es-ES"/>
          <w14:ligatures w14:val="none"/>
        </w:rPr>
        <w:t>violación efectiva de dichas obligaciones</w:t>
      </w:r>
      <w:r w:rsidRPr="003B6130">
        <w:rPr>
          <w:rFonts w:ascii="Segoe UI" w:eastAsia="Times New Roman" w:hAnsi="Segoe UI" w:cs="Segoe UI"/>
          <w:kern w:val="0"/>
          <w:lang w:eastAsia="es-ES"/>
          <w14:ligatures w14:val="none"/>
        </w:rPr>
        <w:t>, ya sea a nivel estructural, temporal o contextual.</w:t>
      </w:r>
    </w:p>
    <w:p w14:paraId="70A2E1E1" w14:textId="1FF06223" w:rsidR="00516973" w:rsidRPr="003B6130" w:rsidRDefault="00516973" w:rsidP="003B6130"/>
    <w:sectPr w:rsidR="00516973" w:rsidRPr="003B613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4AF7"/>
    <w:multiLevelType w:val="multilevel"/>
    <w:tmpl w:val="5E48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94ECD"/>
    <w:multiLevelType w:val="multilevel"/>
    <w:tmpl w:val="AAA0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B682CDB"/>
    <w:multiLevelType w:val="multilevel"/>
    <w:tmpl w:val="1DE8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236568"/>
    <w:multiLevelType w:val="multilevel"/>
    <w:tmpl w:val="30580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BE0E3E"/>
    <w:multiLevelType w:val="multilevel"/>
    <w:tmpl w:val="47D4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547EDD"/>
    <w:multiLevelType w:val="multilevel"/>
    <w:tmpl w:val="85E2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1C2438"/>
    <w:multiLevelType w:val="multilevel"/>
    <w:tmpl w:val="6F20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811081"/>
    <w:multiLevelType w:val="multilevel"/>
    <w:tmpl w:val="91F0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BF00AF"/>
    <w:multiLevelType w:val="multilevel"/>
    <w:tmpl w:val="B97C7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AC6598"/>
    <w:multiLevelType w:val="multilevel"/>
    <w:tmpl w:val="949CC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768717">
    <w:abstractNumId w:val="8"/>
  </w:num>
  <w:num w:numId="2" w16cid:durableId="188875646">
    <w:abstractNumId w:val="4"/>
  </w:num>
  <w:num w:numId="3" w16cid:durableId="1881283159">
    <w:abstractNumId w:val="3"/>
  </w:num>
  <w:num w:numId="4" w16cid:durableId="438372353">
    <w:abstractNumId w:val="7"/>
  </w:num>
  <w:num w:numId="5" w16cid:durableId="527374270">
    <w:abstractNumId w:val="5"/>
  </w:num>
  <w:num w:numId="6" w16cid:durableId="555315554">
    <w:abstractNumId w:val="0"/>
  </w:num>
  <w:num w:numId="7" w16cid:durableId="941719210">
    <w:abstractNumId w:val="9"/>
  </w:num>
  <w:num w:numId="8" w16cid:durableId="1416586978">
    <w:abstractNumId w:val="1"/>
  </w:num>
  <w:num w:numId="9" w16cid:durableId="422576288">
    <w:abstractNumId w:val="6"/>
  </w:num>
  <w:num w:numId="10" w16cid:durableId="1620985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4EC"/>
    <w:rsid w:val="0014158E"/>
    <w:rsid w:val="003904EC"/>
    <w:rsid w:val="003B6130"/>
    <w:rsid w:val="00516973"/>
    <w:rsid w:val="00561CA9"/>
    <w:rsid w:val="00822033"/>
    <w:rsid w:val="00A9379F"/>
    <w:rsid w:val="00ED0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F5009"/>
  <w15:chartTrackingRefBased/>
  <w15:docId w15:val="{ADDC988C-197B-48FC-A143-E22EB71E2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04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04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04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04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04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04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04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04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04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04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04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04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04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04E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04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04E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04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04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04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04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04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04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04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04E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04E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04E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04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04E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04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488</Words>
  <Characters>2686</Characters>
  <Application>Microsoft Office Word</Application>
  <DocSecurity>0</DocSecurity>
  <Lines>22</Lines>
  <Paragraphs>6</Paragraphs>
  <ScaleCrop>false</ScaleCrop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Aguilar Pla</dc:creator>
  <cp:keywords/>
  <dc:description/>
  <cp:lastModifiedBy>Andrés Aguilar Pla</cp:lastModifiedBy>
  <cp:revision>3</cp:revision>
  <dcterms:created xsi:type="dcterms:W3CDTF">2026-01-27T15:07:00Z</dcterms:created>
  <dcterms:modified xsi:type="dcterms:W3CDTF">2026-01-28T09:12:00Z</dcterms:modified>
</cp:coreProperties>
</file>