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B4D30" w14:textId="05D20556" w:rsidR="00AC6913" w:rsidRDefault="00CE7787" w:rsidP="00AC6913">
      <w:pPr>
        <w:pStyle w:val="Heading1"/>
      </w:pPr>
      <w:bookmarkStart w:id="0" w:name="_Toc245552045"/>
      <w:r w:rsidRPr="00CE7787">
        <w:t>Formulas</w:t>
      </w:r>
      <w:bookmarkEnd w:id="0"/>
    </w:p>
    <w:p w14:paraId="3B476026" w14:textId="77777777" w:rsidR="004C62F0" w:rsidRPr="004C62F0" w:rsidRDefault="004C62F0" w:rsidP="004C62F0"/>
    <w:p w14:paraId="266B8808" w14:textId="77777777" w:rsidR="00AC6913" w:rsidRPr="0094395F" w:rsidRDefault="00AC6913" w:rsidP="00AC6913">
      <w:pPr>
        <w:pStyle w:val="Heading2"/>
      </w:pPr>
      <w:bookmarkStart w:id="1" w:name="_Toc245552046"/>
      <w:r w:rsidRPr="0094395F">
        <w:t>Catalan Numbers</w:t>
      </w:r>
      <w:bookmarkEnd w:id="1"/>
    </w:p>
    <w:p w14:paraId="064E63E4" w14:textId="77777777" w:rsidR="00AC6913" w:rsidRPr="0094395F" w:rsidRDefault="00E012B5" w:rsidP="00AC6913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/>
              <w:sz w:val="18"/>
              <w:szCs w:val="1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!n!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n+k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  <w:sz w:val="18"/>
              <w:szCs w:val="18"/>
            </w:rPr>
            <m:t xml:space="preserve">  ,     n≥0</m:t>
          </m:r>
        </m:oMath>
      </m:oMathPara>
    </w:p>
    <w:p w14:paraId="085AD229" w14:textId="77777777" w:rsidR="00AC6913" w:rsidRPr="004C62F0" w:rsidRDefault="00E012B5" w:rsidP="00AC6913">
      <w:pPr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=1,    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n+2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</m:oMath>
      </m:oMathPara>
    </w:p>
    <w:p w14:paraId="0EA7E808" w14:textId="77777777" w:rsidR="004C62F0" w:rsidRPr="007B557B" w:rsidRDefault="004C62F0" w:rsidP="00AC6913">
      <w:pPr>
        <w:rPr>
          <w:sz w:val="18"/>
          <w:szCs w:val="18"/>
        </w:rPr>
      </w:pPr>
    </w:p>
    <w:p w14:paraId="1F3D2871" w14:textId="77777777" w:rsidR="00AC6913" w:rsidRPr="0094395F" w:rsidRDefault="00AC6913" w:rsidP="00AC6913">
      <w:pPr>
        <w:pStyle w:val="Heading2"/>
      </w:pPr>
      <w:bookmarkStart w:id="2" w:name="_Toc245552047"/>
      <w:r w:rsidRPr="0094395F">
        <w:t>Heron’s formula</w:t>
      </w:r>
      <w:bookmarkEnd w:id="2"/>
    </w:p>
    <w:p w14:paraId="08453DB6" w14:textId="77777777" w:rsidR="00AC6913" w:rsidRDefault="00AC6913" w:rsidP="00AC6913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 xml:space="preserve">T= </m:t>
        </m:r>
        <m:rad>
          <m:radPr>
            <m:deg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/>
                <w:sz w:val="18"/>
                <w:szCs w:val="18"/>
              </w:rPr>
              <m:t>s(s-a)(s-b)(s-c)</m:t>
            </m:r>
          </m:e>
        </m:rad>
      </m:oMath>
      <w:r w:rsidRPr="0094395F">
        <w:rPr>
          <w:sz w:val="18"/>
          <w:szCs w:val="18"/>
        </w:rPr>
        <w:t xml:space="preserve">,  </w:t>
      </w:r>
      <w:r w:rsidRPr="0094395F">
        <w:rPr>
          <w:b/>
          <w:sz w:val="18"/>
          <w:szCs w:val="18"/>
        </w:rPr>
        <w:t>where</w:t>
      </w:r>
      <w:r w:rsidRPr="0094395F">
        <w:rPr>
          <w:sz w:val="18"/>
          <w:szCs w:val="18"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>s=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a+b+c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2</m:t>
            </m:r>
          </m:den>
        </m:f>
      </m:oMath>
    </w:p>
    <w:p w14:paraId="5A7D283D" w14:textId="77777777" w:rsidR="004C62F0" w:rsidRPr="0094395F" w:rsidRDefault="004C62F0" w:rsidP="00AC6913">
      <w:pPr>
        <w:rPr>
          <w:sz w:val="18"/>
          <w:szCs w:val="18"/>
        </w:rPr>
      </w:pPr>
    </w:p>
    <w:p w14:paraId="635D2D9B" w14:textId="77777777" w:rsidR="00AC6913" w:rsidRPr="0094395F" w:rsidRDefault="00AC6913" w:rsidP="00AC6913">
      <w:pPr>
        <w:pStyle w:val="Heading2"/>
      </w:pPr>
      <w:bookmarkStart w:id="3" w:name="_Toc245552048"/>
      <w:r w:rsidRPr="0094395F">
        <w:t>Law of cosine</w:t>
      </w:r>
      <w:bookmarkEnd w:id="3"/>
    </w:p>
    <w:p w14:paraId="08AB7FE2" w14:textId="77777777" w:rsidR="00AC6913" w:rsidRPr="004C62F0" w:rsidRDefault="00E012B5" w:rsidP="00AC6913">
      <w:pPr>
        <w:rPr>
          <w:sz w:val="18"/>
          <w:szCs w:val="1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-(2ab)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cos⁡</m:t>
          </m:r>
          <m:r>
            <w:rPr>
              <w:rFonts w:ascii="Cambria Math" w:hAnsi="Cambria Math"/>
              <w:sz w:val="18"/>
              <w:szCs w:val="18"/>
            </w:rPr>
            <m:t>(C)</m:t>
          </m:r>
        </m:oMath>
      </m:oMathPara>
    </w:p>
    <w:p w14:paraId="0E7D81E2" w14:textId="77777777" w:rsidR="004C62F0" w:rsidRPr="007B557B" w:rsidRDefault="004C62F0" w:rsidP="00AC6913">
      <w:pPr>
        <w:rPr>
          <w:sz w:val="18"/>
          <w:szCs w:val="18"/>
        </w:rPr>
      </w:pPr>
    </w:p>
    <w:p w14:paraId="3655BC25" w14:textId="77777777" w:rsidR="00AC6913" w:rsidRPr="0094395F" w:rsidRDefault="00AC6913" w:rsidP="00AC6913">
      <w:pPr>
        <w:pStyle w:val="Heading2"/>
      </w:pPr>
      <w:bookmarkStart w:id="4" w:name="_Toc245552049"/>
      <w:r w:rsidRPr="0094395F">
        <w:t>Law of sine</w:t>
      </w:r>
      <w:bookmarkEnd w:id="4"/>
    </w:p>
    <w:p w14:paraId="121FB661" w14:textId="77777777" w:rsidR="00AC6913" w:rsidRPr="004C62F0" w:rsidRDefault="00E012B5" w:rsidP="00AC6913">
      <w:pPr>
        <w:rPr>
          <w:sz w:val="18"/>
          <w:szCs w:val="1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sin⁡(</m:t>
              </m:r>
              <m:r>
                <w:rPr>
                  <w:rFonts w:ascii="Cambria Math" w:hAnsi="Cambria Math"/>
                  <w:sz w:val="18"/>
                  <w:szCs w:val="18"/>
                </w:rPr>
                <m:t>A)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sin⁡</m:t>
              </m:r>
              <m:r>
                <w:rPr>
                  <w:rFonts w:ascii="Cambria Math" w:hAnsi="Cambria Math"/>
                  <w:sz w:val="18"/>
                  <w:szCs w:val="18"/>
                </w:rPr>
                <m:t>(B)</m:t>
              </m:r>
            </m:den>
          </m:f>
        </m:oMath>
      </m:oMathPara>
    </w:p>
    <w:p w14:paraId="7FEC66C8" w14:textId="77777777" w:rsidR="004C62F0" w:rsidRPr="00732698" w:rsidRDefault="004C62F0" w:rsidP="00AC6913">
      <w:pPr>
        <w:rPr>
          <w:sz w:val="18"/>
          <w:szCs w:val="18"/>
        </w:rPr>
      </w:pPr>
    </w:p>
    <w:p w14:paraId="7B0DBBE1" w14:textId="58ED9F26" w:rsidR="00732698" w:rsidRDefault="00732698" w:rsidP="00732698">
      <w:pPr>
        <w:pStyle w:val="Heading2"/>
      </w:pPr>
      <w:bookmarkStart w:id="5" w:name="_Toc245552050"/>
      <w:r>
        <w:t>Newton Raphson</w:t>
      </w:r>
      <w:bookmarkEnd w:id="5"/>
    </w:p>
    <w:p w14:paraId="2EFF4AC0" w14:textId="4260ACA8" w:rsidR="00732698" w:rsidRPr="004C62F0" w:rsidRDefault="00E012B5" w:rsidP="00732698">
      <w:pPr>
        <w:pStyle w:val="NoSpacing"/>
        <w:rPr>
          <w:rFonts w:ascii="Cambria Math" w:hAnsi="Cambria Math"/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n+1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den>
          </m:f>
        </m:oMath>
      </m:oMathPara>
    </w:p>
    <w:p w14:paraId="2B3002E4" w14:textId="77777777" w:rsidR="004C62F0" w:rsidRPr="00732698" w:rsidRDefault="004C62F0" w:rsidP="00732698">
      <w:pPr>
        <w:pStyle w:val="NoSpacing"/>
        <w:rPr>
          <w:rFonts w:ascii="Cambria Math" w:hAnsi="Cambria Math"/>
          <w:i/>
          <w:sz w:val="18"/>
          <w:szCs w:val="18"/>
        </w:rPr>
      </w:pPr>
    </w:p>
    <w:p w14:paraId="65A46008" w14:textId="77777777" w:rsidR="00AC6913" w:rsidRPr="0094395F" w:rsidRDefault="00AC6913" w:rsidP="00AC6913">
      <w:pPr>
        <w:pStyle w:val="Heading2"/>
      </w:pPr>
      <w:bookmarkStart w:id="6" w:name="_Toc245552051"/>
      <w:r w:rsidRPr="0094395F">
        <w:t>Series</w:t>
      </w:r>
      <w:r>
        <w:t>: A</w:t>
      </w:r>
      <w:bookmarkStart w:id="7" w:name="_GoBack"/>
      <w:bookmarkEnd w:id="7"/>
      <w:r>
        <w:t>rithmetic</w:t>
      </w:r>
      <w:bookmarkEnd w:id="6"/>
    </w:p>
    <w:p w14:paraId="6E0506F8" w14:textId="77777777" w:rsidR="00AC6913" w:rsidRPr="004C62F0" w:rsidRDefault="00E012B5" w:rsidP="00AC6913">
      <w:pPr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+(k-1)d)</m:t>
              </m:r>
            </m:e>
          </m:nary>
          <m:r>
            <w:rPr>
              <w:rFonts w:ascii="Cambria Math" w:hAnsi="Cambria Math"/>
              <w:sz w:val="18"/>
              <w:szCs w:val="18"/>
            </w:rPr>
            <m:t>=n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n(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n-1</m:t>
              </m:r>
            </m:e>
          </m:d>
          <m:r>
            <w:rPr>
              <w:rFonts w:ascii="Cambria Math" w:hAnsi="Cambria Math"/>
              <w:sz w:val="18"/>
              <w:szCs w:val="18"/>
            </w:rPr>
            <m:t>d)</m:t>
          </m:r>
        </m:oMath>
      </m:oMathPara>
    </w:p>
    <w:p w14:paraId="6BEB9E98" w14:textId="77777777" w:rsidR="004C62F0" w:rsidRPr="0094395F" w:rsidRDefault="004C62F0" w:rsidP="00AC6913">
      <w:pPr>
        <w:rPr>
          <w:sz w:val="18"/>
          <w:szCs w:val="18"/>
        </w:rPr>
      </w:pPr>
    </w:p>
    <w:p w14:paraId="51E93FCB" w14:textId="77777777" w:rsidR="00AC6913" w:rsidRPr="0094395F" w:rsidRDefault="00AC6913" w:rsidP="00AC6913">
      <w:pPr>
        <w:pStyle w:val="Heading2"/>
      </w:pPr>
      <w:bookmarkStart w:id="8" w:name="_Toc245552052"/>
      <w:r w:rsidRPr="0094395F">
        <w:t>Series</w:t>
      </w:r>
      <w:r>
        <w:t>: Geometric</w:t>
      </w:r>
      <w:bookmarkEnd w:id="8"/>
    </w:p>
    <w:p w14:paraId="7C413791" w14:textId="77777777" w:rsidR="00AC6913" w:rsidRPr="0094395F" w:rsidRDefault="00E012B5" w:rsidP="00AC6913">
      <w:pPr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r(1-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1-r</m:t>
              </m:r>
            </m:den>
          </m:f>
        </m:oMath>
      </m:oMathPara>
    </w:p>
    <w:p w14:paraId="6CFDBA4C" w14:textId="77777777" w:rsidR="00AC6913" w:rsidRPr="0094395F" w:rsidRDefault="00AC6913" w:rsidP="00AC6913">
      <w:pPr>
        <w:rPr>
          <w:sz w:val="18"/>
          <w:szCs w:val="18"/>
        </w:rPr>
      </w:pPr>
    </w:p>
    <w:p w14:paraId="5CE0E2EE" w14:textId="10761965" w:rsidR="00AC6913" w:rsidRPr="0094395F" w:rsidRDefault="00732698" w:rsidP="00AC6913">
      <w:pPr>
        <w:rPr>
          <w:sz w:val="18"/>
          <w:szCs w:val="18"/>
        </w:rPr>
      </w:pPr>
      <w:r>
        <w:rPr>
          <w:sz w:val="18"/>
          <w:szCs w:val="18"/>
        </w:rPr>
        <w:t>If |r| &lt; 1</w:t>
      </w:r>
      <w:r w:rsidR="00AC6913" w:rsidRPr="0094395F">
        <w:rPr>
          <w:sz w:val="18"/>
          <w:szCs w:val="18"/>
        </w:rPr>
        <w:t xml:space="preserve"> </w:t>
      </w:r>
    </w:p>
    <w:p w14:paraId="3A6E9EE6" w14:textId="77777777" w:rsidR="00AC6913" w:rsidRPr="004C62F0" w:rsidRDefault="00E012B5" w:rsidP="00AC6913">
      <w:pPr>
        <w:tabs>
          <w:tab w:val="left" w:pos="2040"/>
        </w:tabs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r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1-r</m:t>
              </m:r>
            </m:den>
          </m:f>
        </m:oMath>
      </m:oMathPara>
    </w:p>
    <w:p w14:paraId="49302F25" w14:textId="77777777" w:rsidR="004C62F0" w:rsidRPr="006922DE" w:rsidRDefault="004C62F0" w:rsidP="00AC6913">
      <w:pPr>
        <w:tabs>
          <w:tab w:val="left" w:pos="2040"/>
        </w:tabs>
        <w:rPr>
          <w:sz w:val="18"/>
          <w:szCs w:val="18"/>
        </w:rPr>
      </w:pPr>
    </w:p>
    <w:p w14:paraId="5920A3B6" w14:textId="71F22022" w:rsidR="006922DE" w:rsidRPr="007B557B" w:rsidRDefault="006922DE" w:rsidP="006922DE">
      <w:pPr>
        <w:pStyle w:val="Heading2"/>
      </w:pPr>
      <w:bookmarkStart w:id="9" w:name="_Toc245552053"/>
      <w:r>
        <w:t>Simpson’s Rule</w:t>
      </w:r>
      <w:bookmarkEnd w:id="9"/>
    </w:p>
    <w:p w14:paraId="70C7B794" w14:textId="6702B109" w:rsidR="006922DE" w:rsidRPr="004C62F0" w:rsidRDefault="00E012B5" w:rsidP="006922DE">
      <w:pPr>
        <w:rPr>
          <w:rFonts w:ascii="Cambria Math" w:hAnsi="Cambria Math"/>
          <w:i/>
          <w:sz w:val="18"/>
          <w:szCs w:val="1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dx ≈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e>
          </m:nary>
        </m:oMath>
      </m:oMathPara>
    </w:p>
    <w:p w14:paraId="588D7715" w14:textId="77777777" w:rsidR="004C62F0" w:rsidRPr="00732698" w:rsidRDefault="004C62F0" w:rsidP="006922DE">
      <w:pPr>
        <w:rPr>
          <w:rFonts w:ascii="Cambria Math" w:hAnsi="Cambria Math"/>
          <w:i/>
          <w:sz w:val="18"/>
          <w:szCs w:val="18"/>
        </w:rPr>
      </w:pPr>
    </w:p>
    <w:p w14:paraId="40D2C09C" w14:textId="77777777" w:rsidR="00AC6913" w:rsidRPr="0094395F" w:rsidRDefault="00AC6913" w:rsidP="00AC6913">
      <w:pPr>
        <w:pStyle w:val="Heading2"/>
      </w:pPr>
      <w:bookmarkStart w:id="10" w:name="_Toc245552054"/>
      <w:r w:rsidRPr="0094395F">
        <w:t>Stirling’s approximation</w:t>
      </w:r>
      <w:bookmarkEnd w:id="10"/>
    </w:p>
    <w:p w14:paraId="7033FF74" w14:textId="77777777" w:rsidR="00AC6913" w:rsidRPr="0094395F" w:rsidRDefault="00AC6913" w:rsidP="00AC6913">
      <w:pPr>
        <w:rPr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>n! ≈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/>
                  <w:sz w:val="18"/>
                  <w:szCs w:val="18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</m:sSup>
        </m:oMath>
      </m:oMathPara>
    </w:p>
    <w:p w14:paraId="15DBFCBB" w14:textId="77777777" w:rsidR="00AC6913" w:rsidRPr="004C62F0" w:rsidRDefault="00AC6913" w:rsidP="00AC6913">
      <w:pPr>
        <w:rPr>
          <w:sz w:val="18"/>
          <w:szCs w:val="1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ln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n!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 n*ln(n)-n+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14:paraId="461E35E6" w14:textId="77777777" w:rsidR="004C62F0" w:rsidRPr="0094395F" w:rsidRDefault="004C62F0" w:rsidP="00AC6913">
      <w:pPr>
        <w:rPr>
          <w:sz w:val="18"/>
          <w:szCs w:val="18"/>
        </w:rPr>
      </w:pPr>
    </w:p>
    <w:p w14:paraId="337B4184" w14:textId="01EBADAC" w:rsidR="00AC6913" w:rsidRPr="0094395F" w:rsidRDefault="00AC6913" w:rsidP="00AC6913">
      <w:pPr>
        <w:pStyle w:val="Heading2"/>
      </w:pPr>
      <w:bookmarkStart w:id="11" w:name="_Toc245552055"/>
      <w:r w:rsidRPr="0094395F">
        <w:t>Sum of Powers</w:t>
      </w:r>
      <w:bookmarkEnd w:id="11"/>
    </w:p>
    <w:p w14:paraId="1A8D258B" w14:textId="77777777" w:rsidR="00AC6913" w:rsidRPr="0094395F" w:rsidRDefault="00E012B5" w:rsidP="00AC6913">
      <w:pPr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n(n+1)(2n+1)</m:t>
          </m:r>
        </m:oMath>
      </m:oMathPara>
    </w:p>
    <w:p w14:paraId="33E60F00" w14:textId="77777777" w:rsidR="00AC6913" w:rsidRPr="004F0B81" w:rsidRDefault="00E012B5" w:rsidP="00AC6913">
      <w:pPr>
        <w:rPr>
          <w:sz w:val="18"/>
          <w:szCs w:val="1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sz w:val="18"/>
              <w:szCs w:val="18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k=1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n(n+1)</m:t>
                  </m:r>
                </m:e>
              </m:d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</m:oMath>
      </m:oMathPara>
    </w:p>
    <w:p w14:paraId="35A322D6" w14:textId="77777777" w:rsidR="004F0B81" w:rsidRPr="0094395F" w:rsidRDefault="004F0B81" w:rsidP="00AC6913">
      <w:pPr>
        <w:rPr>
          <w:sz w:val="18"/>
          <w:szCs w:val="18"/>
        </w:rPr>
      </w:pPr>
    </w:p>
    <w:p w14:paraId="3B1EA124" w14:textId="2ADBAEA8" w:rsidR="004F0B81" w:rsidRPr="0094395F" w:rsidRDefault="004F0B81" w:rsidP="004F0B81">
      <w:pPr>
        <w:pStyle w:val="Heading2"/>
      </w:pPr>
      <w:r>
        <w:t>Fermat’s little theorem</w:t>
      </w:r>
    </w:p>
    <w:p w14:paraId="43831556" w14:textId="73A48A2B" w:rsidR="004F0B81" w:rsidRPr="004F0B81" w:rsidRDefault="004F0B81" w:rsidP="004F0B81">
      <w:pPr>
        <w:rPr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p</m:t>
            </m:r>
          </m:sup>
        </m:sSup>
        <m:r>
          <w:rPr>
            <w:rFonts w:ascii="Cambria Math" w:hAnsi="Cambria Math"/>
            <w:sz w:val="18"/>
            <w:szCs w:val="18"/>
          </w:rPr>
          <m:t xml:space="preserve">≡a 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mod p</m:t>
            </m:r>
          </m:e>
        </m:d>
      </m:oMath>
      <w:r>
        <w:rPr>
          <w:sz w:val="18"/>
          <w:szCs w:val="18"/>
        </w:rPr>
        <w:t xml:space="preserve"> where p is prime</w:t>
      </w:r>
    </w:p>
    <w:p w14:paraId="36323C57" w14:textId="4EB99F2B" w:rsidR="004F0B81" w:rsidRPr="0094395F" w:rsidRDefault="004F0B81" w:rsidP="004F0B81">
      <w:pPr>
        <w:rPr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p-1</m:t>
            </m:r>
          </m:sup>
        </m:sSup>
        <m:r>
          <w:rPr>
            <w:rFonts w:ascii="Cambria Math" w:hAnsi="Cambria Math"/>
            <w:sz w:val="18"/>
            <w:szCs w:val="18"/>
          </w:rPr>
          <m:t>≡</m:t>
        </m:r>
        <m:r>
          <w:rPr>
            <w:rFonts w:ascii="Cambria Math" w:hAnsi="Cambria Math"/>
            <w:sz w:val="18"/>
            <w:szCs w:val="18"/>
          </w:rPr>
          <m:t>1 (mod p)</m:t>
        </m:r>
      </m:oMath>
      <w:r>
        <w:rPr>
          <w:sz w:val="18"/>
          <w:szCs w:val="18"/>
        </w:rPr>
        <w:t xml:space="preserve"> where p is prime and a is not divisible by p</w:t>
      </w:r>
    </w:p>
    <w:p w14:paraId="16D64C1A" w14:textId="77777777" w:rsidR="004F0B81" w:rsidRPr="0094395F" w:rsidRDefault="004F0B81" w:rsidP="004F0B81">
      <w:pPr>
        <w:rPr>
          <w:sz w:val="18"/>
          <w:szCs w:val="18"/>
        </w:rPr>
      </w:pPr>
    </w:p>
    <w:p w14:paraId="57AADCE7" w14:textId="31DE6CDC" w:rsidR="004F0B81" w:rsidRPr="0094395F" w:rsidRDefault="004F0B81" w:rsidP="004F0B81">
      <w:pPr>
        <w:pStyle w:val="Heading2"/>
      </w:pPr>
      <w:r>
        <w:t>Euler’s totient function</w:t>
      </w:r>
    </w:p>
    <w:p w14:paraId="1A6CA37B" w14:textId="75CE39C9" w:rsidR="004F0B81" w:rsidRDefault="004F0B81" w:rsidP="004F0B81">
      <w:pPr>
        <w:rPr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φ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 n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/>
                <w:sz w:val="18"/>
                <w:szCs w:val="18"/>
              </w:rPr>
              <m:t>p|n</m:t>
            </m:r>
          </m:sub>
          <m:sup/>
          <m:e>
            <m:r>
              <w:rPr>
                <w:rFonts w:ascii="Cambria Math" w:hAnsi="Cambria Math"/>
                <w:sz w:val="18"/>
                <w:szCs w:val="18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)</m:t>
            </m:r>
          </m:e>
        </m:nary>
      </m:oMath>
      <w:r>
        <w:rPr>
          <w:sz w:val="18"/>
          <w:szCs w:val="18"/>
        </w:rPr>
        <w:t xml:space="preserve"> where p is prime</w:t>
      </w:r>
    </w:p>
    <w:p w14:paraId="30853DD7" w14:textId="59EA28D7" w:rsidR="00C669AD" w:rsidRPr="0094395F" w:rsidRDefault="00C669AD" w:rsidP="00C669AD">
      <w:pPr>
        <w:pStyle w:val="Heading2"/>
      </w:pPr>
      <w:r>
        <w:t xml:space="preserve">Euler’s </w:t>
      </w:r>
      <w:r>
        <w:t>theorem</w:t>
      </w:r>
    </w:p>
    <w:p w14:paraId="7F09C175" w14:textId="39AA70A0" w:rsidR="00C669AD" w:rsidRDefault="00C669AD" w:rsidP="00C669AD">
      <w:pPr>
        <w:rPr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18"/>
            <w:szCs w:val="18"/>
          </w:rPr>
          <m:t>≡1 (mod n)</m:t>
        </m:r>
      </m:oMath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where gcd(a, n) = 1</w:t>
      </w:r>
    </w:p>
    <w:p w14:paraId="348369F9" w14:textId="77777777" w:rsidR="00C669AD" w:rsidRPr="004F0B81" w:rsidRDefault="00C669AD" w:rsidP="004F0B81">
      <w:pPr>
        <w:rPr>
          <w:sz w:val="18"/>
          <w:szCs w:val="18"/>
        </w:rPr>
      </w:pPr>
    </w:p>
    <w:p w14:paraId="73C2F9B5" w14:textId="77777777" w:rsidR="004F0B81" w:rsidRPr="0094395F" w:rsidRDefault="004F0B81" w:rsidP="004F0B81">
      <w:pPr>
        <w:rPr>
          <w:sz w:val="18"/>
          <w:szCs w:val="18"/>
        </w:rPr>
      </w:pPr>
    </w:p>
    <w:p w14:paraId="6523749B" w14:textId="77777777" w:rsidR="00AC6913" w:rsidRPr="00AC6913" w:rsidRDefault="00AC6913" w:rsidP="00AC6913"/>
    <w:p w14:paraId="2D139006" w14:textId="6AE57571" w:rsidR="004170D2" w:rsidRPr="004170D2" w:rsidRDefault="004170D2" w:rsidP="00AE4D4F"/>
    <w:sectPr w:rsidR="004170D2" w:rsidRPr="004170D2" w:rsidSect="004C62F0">
      <w:footerReference w:type="even" r:id="rId7"/>
      <w:footerReference w:type="default" r:id="rId8"/>
      <w:pgSz w:w="11900" w:h="16840"/>
      <w:pgMar w:top="720" w:right="720" w:bottom="720" w:left="720" w:header="708" w:footer="708" w:gutter="0"/>
      <w:cols w:space="276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19AC6" w14:textId="77777777" w:rsidR="00E012B5" w:rsidRDefault="00E012B5" w:rsidP="00E10D30">
      <w:r>
        <w:separator/>
      </w:r>
    </w:p>
  </w:endnote>
  <w:endnote w:type="continuationSeparator" w:id="0">
    <w:p w14:paraId="3D70583F" w14:textId="77777777" w:rsidR="00E012B5" w:rsidRDefault="00E012B5" w:rsidP="00E10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77446" w14:textId="77777777" w:rsidR="00E033BC" w:rsidRDefault="00E033BC" w:rsidP="00E10D3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31AC9B" w14:textId="77777777" w:rsidR="00E033BC" w:rsidRDefault="00E033BC" w:rsidP="00E10D3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E30E9" w14:textId="77777777" w:rsidR="00E033BC" w:rsidRPr="00E10D30" w:rsidRDefault="00E033BC" w:rsidP="00E10D30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E10D30">
      <w:rPr>
        <w:rStyle w:val="PageNumber"/>
        <w:sz w:val="18"/>
        <w:szCs w:val="18"/>
      </w:rPr>
      <w:fldChar w:fldCharType="begin"/>
    </w:r>
    <w:r w:rsidRPr="00E10D30">
      <w:rPr>
        <w:rStyle w:val="PageNumber"/>
        <w:sz w:val="18"/>
        <w:szCs w:val="18"/>
      </w:rPr>
      <w:instrText xml:space="preserve">PAGE  </w:instrText>
    </w:r>
    <w:r w:rsidRPr="00E10D30">
      <w:rPr>
        <w:rStyle w:val="PageNumber"/>
        <w:sz w:val="18"/>
        <w:szCs w:val="18"/>
      </w:rPr>
      <w:fldChar w:fldCharType="separate"/>
    </w:r>
    <w:r w:rsidR="00E012B5">
      <w:rPr>
        <w:rStyle w:val="PageNumber"/>
        <w:noProof/>
        <w:sz w:val="18"/>
        <w:szCs w:val="18"/>
      </w:rPr>
      <w:t>1</w:t>
    </w:r>
    <w:r w:rsidRPr="00E10D30">
      <w:rPr>
        <w:rStyle w:val="PageNumber"/>
        <w:sz w:val="18"/>
        <w:szCs w:val="18"/>
      </w:rPr>
      <w:fldChar w:fldCharType="end"/>
    </w:r>
  </w:p>
  <w:p w14:paraId="3368E962" w14:textId="77777777" w:rsidR="00E033BC" w:rsidRPr="00E10D30" w:rsidRDefault="00E033BC" w:rsidP="00E10D30">
    <w:pPr>
      <w:pStyle w:val="Footer"/>
      <w:ind w:right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A12D8" w14:textId="77777777" w:rsidR="00E012B5" w:rsidRDefault="00E012B5" w:rsidP="00E10D30">
      <w:r>
        <w:separator/>
      </w:r>
    </w:p>
  </w:footnote>
  <w:footnote w:type="continuationSeparator" w:id="0">
    <w:p w14:paraId="0BC85223" w14:textId="77777777" w:rsidR="00E012B5" w:rsidRDefault="00E012B5" w:rsidP="00E10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20F"/>
    <w:rsid w:val="000000AF"/>
    <w:rsid w:val="001073D9"/>
    <w:rsid w:val="00116F06"/>
    <w:rsid w:val="00157ADD"/>
    <w:rsid w:val="001C491A"/>
    <w:rsid w:val="00265FAE"/>
    <w:rsid w:val="00271341"/>
    <w:rsid w:val="002F482A"/>
    <w:rsid w:val="00307FA1"/>
    <w:rsid w:val="00365F99"/>
    <w:rsid w:val="003734B0"/>
    <w:rsid w:val="00387E01"/>
    <w:rsid w:val="003C115A"/>
    <w:rsid w:val="003F1D59"/>
    <w:rsid w:val="0041046A"/>
    <w:rsid w:val="004170D2"/>
    <w:rsid w:val="00472462"/>
    <w:rsid w:val="00490355"/>
    <w:rsid w:val="004B1DF3"/>
    <w:rsid w:val="004C62F0"/>
    <w:rsid w:val="004F0B81"/>
    <w:rsid w:val="0055762E"/>
    <w:rsid w:val="005617B6"/>
    <w:rsid w:val="005A03FC"/>
    <w:rsid w:val="005A740F"/>
    <w:rsid w:val="00624D78"/>
    <w:rsid w:val="00632AAD"/>
    <w:rsid w:val="006922DE"/>
    <w:rsid w:val="006A5F9E"/>
    <w:rsid w:val="006C233F"/>
    <w:rsid w:val="00714041"/>
    <w:rsid w:val="00722176"/>
    <w:rsid w:val="00732698"/>
    <w:rsid w:val="00775E79"/>
    <w:rsid w:val="007B20DA"/>
    <w:rsid w:val="007D221B"/>
    <w:rsid w:val="007E3E44"/>
    <w:rsid w:val="00802AD4"/>
    <w:rsid w:val="00870ACF"/>
    <w:rsid w:val="00880564"/>
    <w:rsid w:val="008836BF"/>
    <w:rsid w:val="00885A1A"/>
    <w:rsid w:val="008B5CAC"/>
    <w:rsid w:val="00902321"/>
    <w:rsid w:val="009349B8"/>
    <w:rsid w:val="0094395F"/>
    <w:rsid w:val="009557FC"/>
    <w:rsid w:val="00973DE2"/>
    <w:rsid w:val="009753BF"/>
    <w:rsid w:val="009B5ADD"/>
    <w:rsid w:val="009F4291"/>
    <w:rsid w:val="00A07894"/>
    <w:rsid w:val="00A64F15"/>
    <w:rsid w:val="00A77264"/>
    <w:rsid w:val="00AC04B6"/>
    <w:rsid w:val="00AC6913"/>
    <w:rsid w:val="00AD020F"/>
    <w:rsid w:val="00AE43E9"/>
    <w:rsid w:val="00AE4D4F"/>
    <w:rsid w:val="00B000F8"/>
    <w:rsid w:val="00B5468D"/>
    <w:rsid w:val="00B85C0D"/>
    <w:rsid w:val="00BA5529"/>
    <w:rsid w:val="00BB5AD7"/>
    <w:rsid w:val="00BD543E"/>
    <w:rsid w:val="00BE161E"/>
    <w:rsid w:val="00BF34D8"/>
    <w:rsid w:val="00C4600E"/>
    <w:rsid w:val="00C669AD"/>
    <w:rsid w:val="00C761F5"/>
    <w:rsid w:val="00C90518"/>
    <w:rsid w:val="00CC3228"/>
    <w:rsid w:val="00CE7787"/>
    <w:rsid w:val="00CF61E6"/>
    <w:rsid w:val="00D056BC"/>
    <w:rsid w:val="00D30E0A"/>
    <w:rsid w:val="00D87D7A"/>
    <w:rsid w:val="00D91BDB"/>
    <w:rsid w:val="00D9212B"/>
    <w:rsid w:val="00DA5EB3"/>
    <w:rsid w:val="00E012B5"/>
    <w:rsid w:val="00E033BC"/>
    <w:rsid w:val="00E10D30"/>
    <w:rsid w:val="00EA597A"/>
    <w:rsid w:val="00F221A6"/>
    <w:rsid w:val="00F465B9"/>
    <w:rsid w:val="00F71A59"/>
    <w:rsid w:val="00FB098B"/>
    <w:rsid w:val="00FB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0FB56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"/>
    <w:qFormat/>
    <w:rsid w:val="004170D2"/>
    <w:rPr>
      <w:rFonts w:ascii="Arial Narrow" w:hAnsi="Arial Narro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DE2"/>
    <w:pPr>
      <w:shd w:val="clear" w:color="auto" w:fill="FFFFFF"/>
      <w:outlineLvl w:val="0"/>
    </w:pPr>
    <w:rPr>
      <w:b/>
      <w:sz w:val="22"/>
      <w:szCs w:val="1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973DE2"/>
    <w:pPr>
      <w:keepNext/>
      <w:keepLines/>
      <w:outlineLvl w:val="1"/>
    </w:pPr>
    <w:rPr>
      <w:rFonts w:ascii="Arial" w:eastAsiaTheme="majorEastAsia" w:hAnsi="Arial" w:cstheme="majorBidi"/>
      <w:b/>
      <w:bCs/>
      <w:sz w:val="2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D020F"/>
  </w:style>
  <w:style w:type="character" w:customStyle="1" w:styleId="tex-span">
    <w:name w:val="tex-span"/>
    <w:basedOn w:val="DefaultParagraphFont"/>
    <w:rsid w:val="00AD020F"/>
  </w:style>
  <w:style w:type="paragraph" w:styleId="BalloonText">
    <w:name w:val="Balloon Text"/>
    <w:basedOn w:val="Normal"/>
    <w:link w:val="BalloonTextChar"/>
    <w:uiPriority w:val="99"/>
    <w:semiHidden/>
    <w:unhideWhenUsed/>
    <w:rsid w:val="00AD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20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073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bodysubtitle">
    <w:name w:val="bodysubtitle"/>
    <w:basedOn w:val="DefaultParagraphFont"/>
    <w:rsid w:val="001073D9"/>
  </w:style>
  <w:style w:type="character" w:styleId="HTMLDefinition">
    <w:name w:val="HTML Definition"/>
    <w:basedOn w:val="DefaultParagraphFont"/>
    <w:uiPriority w:val="99"/>
    <w:semiHidden/>
    <w:unhideWhenUsed/>
    <w:rsid w:val="001073D9"/>
    <w:rPr>
      <w:i/>
      <w:iCs/>
    </w:rPr>
  </w:style>
  <w:style w:type="character" w:styleId="Emphasis">
    <w:name w:val="Emphasis"/>
    <w:basedOn w:val="DefaultParagraphFont"/>
    <w:uiPriority w:val="20"/>
    <w:qFormat/>
    <w:rsid w:val="001073D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73DE2"/>
    <w:rPr>
      <w:rFonts w:ascii="Arial Narrow" w:hAnsi="Arial Narrow"/>
      <w:b/>
      <w:sz w:val="22"/>
      <w:szCs w:val="18"/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EA597A"/>
    <w:pPr>
      <w:keepNext/>
      <w:keepLines/>
      <w:shd w:val="clear" w:color="auto" w:fill="auto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033BC"/>
    <w:pPr>
      <w:tabs>
        <w:tab w:val="right" w:leader="dot" w:pos="4940"/>
      </w:tabs>
    </w:pPr>
    <w:rPr>
      <w:b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B20DA"/>
    <w:pPr>
      <w:tabs>
        <w:tab w:val="right" w:leader="dot" w:pos="4940"/>
      </w:tabs>
      <w:ind w:left="240"/>
    </w:pPr>
    <w:rPr>
      <w:b/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A597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A597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A597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A597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A597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A597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A597A"/>
    <w:pPr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10D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D30"/>
  </w:style>
  <w:style w:type="character" w:styleId="PageNumber">
    <w:name w:val="page number"/>
    <w:basedOn w:val="DefaultParagraphFont"/>
    <w:uiPriority w:val="99"/>
    <w:semiHidden/>
    <w:unhideWhenUsed/>
    <w:rsid w:val="00E10D30"/>
  </w:style>
  <w:style w:type="paragraph" w:styleId="Header">
    <w:name w:val="header"/>
    <w:basedOn w:val="Normal"/>
    <w:link w:val="HeaderChar"/>
    <w:uiPriority w:val="99"/>
    <w:unhideWhenUsed/>
    <w:rsid w:val="00E10D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D30"/>
  </w:style>
  <w:style w:type="character" w:customStyle="1" w:styleId="Heading2Char">
    <w:name w:val="Heading 2 Char"/>
    <w:basedOn w:val="DefaultParagraphFont"/>
    <w:link w:val="Heading2"/>
    <w:uiPriority w:val="9"/>
    <w:rsid w:val="00973DE2"/>
    <w:rPr>
      <w:rFonts w:ascii="Arial" w:eastAsiaTheme="majorEastAsia" w:hAnsi="Arial" w:cstheme="majorBidi"/>
      <w:b/>
      <w:bCs/>
      <w:sz w:val="20"/>
      <w:szCs w:val="26"/>
      <w:u w:val="single"/>
    </w:rPr>
  </w:style>
  <w:style w:type="paragraph" w:styleId="NoSpacing">
    <w:name w:val="No Spacing"/>
    <w:uiPriority w:val="1"/>
    <w:qFormat/>
    <w:rsid w:val="00CE7787"/>
  </w:style>
  <w:style w:type="character" w:styleId="Strong">
    <w:name w:val="Strong"/>
    <w:basedOn w:val="DefaultParagraphFont"/>
    <w:uiPriority w:val="22"/>
    <w:qFormat/>
    <w:rsid w:val="00CE7787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922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0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4C9628-B693-3F47-A1EA-031EEE81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952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Formulas</vt:lpstr>
      <vt:lpstr>    Catalan Numbers</vt:lpstr>
      <vt:lpstr>    Heron’s formula</vt:lpstr>
      <vt:lpstr>    Law of cosine</vt:lpstr>
      <vt:lpstr>    Law of sine</vt:lpstr>
      <vt:lpstr>    Newton Raphson</vt:lpstr>
      <vt:lpstr>    Series: Arithmetic</vt:lpstr>
      <vt:lpstr>    Series: Geometric</vt:lpstr>
      <vt:lpstr>    Simpson’s Rule</vt:lpstr>
      <vt:lpstr>    Stirling’s approximation</vt:lpstr>
      <vt:lpstr>    Sum of Powers</vt:lpstr>
      <vt:lpstr>    Fermat’s little theorem</vt:lpstr>
      <vt:lpstr>    Euler’s totient function</vt:lpstr>
      <vt:lpstr>    Euler’s theorem</vt:lpstr>
    </vt:vector>
  </TitlesOfParts>
  <Company>ITESM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Altamirano</dc:creator>
  <cp:keywords/>
  <dc:description/>
  <cp:lastModifiedBy>Alfredo Altamirano Montealvo</cp:lastModifiedBy>
  <cp:revision>5</cp:revision>
  <dcterms:created xsi:type="dcterms:W3CDTF">2014-11-03T17:46:00Z</dcterms:created>
  <dcterms:modified xsi:type="dcterms:W3CDTF">2015-11-02T17:52:00Z</dcterms:modified>
</cp:coreProperties>
</file>