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sz w:val="48"/>
          <w:szCs w:val="48"/>
        </w:rPr>
      </w:pPr>
      <w:bookmarkStart w:id="1" w:name="_heading=h.jloj2ovm89ne"/>
      <w:bookmarkEnd w:id="1"/>
      <w:r>
        <w:rPr>
          <w:rFonts w:eastAsia="Calibri" w:cs="Calibri" w:ascii="Calibri" w:hAnsi="Calibri"/>
          <w:b/>
          <w:sz w:val="48"/>
          <w:szCs w:val="48"/>
        </w:rPr>
        <w:t>(dos sesiones)</w:t>
      </w:r>
    </w:p>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r>
      <w:bookmarkStart w:id="2" w:name="_heading=h.30j0zll"/>
      <w:bookmarkStart w:id="3" w:name="_heading=h.30j0zll"/>
      <w:bookmarkEnd w:id="3"/>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4" w:name="_heading=h.1fob9te"/>
      <w:bookmarkEnd w:id="4"/>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Frecuencia de muestreo en GNURadio</w:t>
      </w:r>
    </w:p>
    <w:p>
      <w:pPr>
        <w:pStyle w:val="Normal1"/>
        <w:jc w:val="center"/>
        <w:rPr/>
      </w:pPr>
      <w:r>
        <w:rPr/>
      </w:r>
    </w:p>
    <w:p>
      <w:pPr>
        <w:pStyle w:val="Normal1"/>
        <w:pBdr/>
        <w:rPr/>
      </w:pPr>
      <w:r>
        <w:rPr/>
      </w:r>
    </w:p>
    <w:tbl>
      <w:tblPr>
        <w:tblStyle w:val="Table1"/>
        <w:tblW w:w="9350" w:type="dxa"/>
        <w:jc w:val="left"/>
        <w:tblInd w:w="0" w:type="dxa"/>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tcPr>
          <w:p>
            <w:pPr>
              <w:pStyle w:val="Normal1"/>
              <w:widowControl/>
              <w:bidi w:val="0"/>
              <w:spacing w:lineRule="auto" w:line="252" w:before="0" w:after="160"/>
              <w:jc w:val="both"/>
              <w:rPr/>
            </w:pPr>
            <w:r>
              <w:rPr/>
              <w:t>Autores</w:t>
            </w:r>
          </w:p>
        </w:tc>
        <w:tc>
          <w:tcPr>
            <w:tcW w:w="4701" w:type="dxa"/>
            <w:tcBorders/>
          </w:tcPr>
          <w:p>
            <w:pPr>
              <w:pStyle w:val="Normal1"/>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widowControl/>
              <w:bidi w:val="0"/>
              <w:spacing w:lineRule="auto" w:line="252" w:before="0" w:after="160"/>
              <w:jc w:val="both"/>
              <w:rPr/>
            </w:pPr>
            <w:r>
              <w:rPr/>
              <w:t>_______________________________________________________</w:t>
            </w:r>
          </w:p>
        </w:tc>
      </w:tr>
    </w:tbl>
    <w:p>
      <w:pPr>
        <w:pStyle w:val="Normal1"/>
        <w:widowControl w:val="false"/>
        <w:pBdr/>
        <w:rPr>
          <w:b/>
          <w:b/>
        </w:rPr>
      </w:pPr>
      <w:r>
        <w:rPr>
          <w:b/>
        </w:rPr>
      </w:r>
    </w:p>
    <w:tbl>
      <w:tblPr>
        <w:tblStyle w:val="Table2"/>
        <w:tblW w:w="9350" w:type="dxa"/>
        <w:jc w:val="left"/>
        <w:tblInd w:w="0" w:type="dxa"/>
        <w:tblCellMar>
          <w:top w:w="0" w:type="dxa"/>
          <w:left w:w="108" w:type="dxa"/>
          <w:bottom w:w="0" w:type="dxa"/>
          <w:right w:w="108" w:type="dxa"/>
        </w:tblCellMar>
        <w:tblLook w:val="0400"/>
      </w:tblPr>
      <w:tblGrid>
        <w:gridCol w:w="4648"/>
        <w:gridCol w:w="4701"/>
      </w:tblGrid>
      <w:tr>
        <w:trPr>
          <w:trHeight w:val="567" w:hRule="atLeast"/>
        </w:trPr>
        <w:tc>
          <w:tcPr>
            <w:tcW w:w="4648" w:type="dxa"/>
            <w:tcBorders/>
            <w:vAlign w:val="bottom"/>
          </w:tcPr>
          <w:p>
            <w:pPr>
              <w:pStyle w:val="Normal1"/>
              <w:widowControl w:val="false"/>
              <w:spacing w:before="0" w:after="160"/>
              <w:jc w:val="left"/>
              <w:rPr>
                <w:b/>
                <w:b/>
              </w:rPr>
            </w:pPr>
            <w:r>
              <w:rPr>
                <w:b/>
              </w:rPr>
              <w:t>Grupo de laboratorio:</w:t>
            </w:r>
          </w:p>
        </w:tc>
        <w:tc>
          <w:tcPr>
            <w:tcW w:w="4701" w:type="dxa"/>
            <w:tcBorders/>
            <w:vAlign w:val="bottom"/>
          </w:tcPr>
          <w:p>
            <w:pPr>
              <w:pStyle w:val="Normal1"/>
              <w:widowControl w:val="false"/>
              <w:spacing w:before="0" w:after="160"/>
              <w:jc w:val="left"/>
              <w:rPr>
                <w:b/>
                <w:b/>
              </w:rPr>
            </w:pPr>
            <w:r>
              <w:rPr/>
              <w:t>_______________________________________________________</w:t>
            </w:r>
          </w:p>
        </w:tc>
      </w:tr>
      <w:tr>
        <w:trPr>
          <w:trHeight w:val="567" w:hRule="atLeast"/>
        </w:trPr>
        <w:tc>
          <w:tcPr>
            <w:tcW w:w="4648" w:type="dxa"/>
            <w:tcBorders/>
            <w:vAlign w:val="bottom"/>
          </w:tcPr>
          <w:p>
            <w:pPr>
              <w:pStyle w:val="Normal1"/>
              <w:widowControl w:val="false"/>
              <w:spacing w:before="0" w:after="160"/>
              <w:jc w:val="left"/>
              <w:rPr>
                <w:b/>
                <w:b/>
              </w:rPr>
            </w:pPr>
            <w:r>
              <w:rPr>
                <w:b/>
              </w:rPr>
              <w:t>Subgrupo de clase</w:t>
            </w:r>
          </w:p>
        </w:tc>
        <w:tc>
          <w:tcPr>
            <w:tcW w:w="4701" w:type="dxa"/>
            <w:tcBorders/>
            <w:vAlign w:val="bottom"/>
          </w:tcPr>
          <w:p>
            <w:pPr>
              <w:pStyle w:val="Normal1"/>
              <w:widowControl w:val="false"/>
              <w:spacing w:before="0" w:after="160"/>
              <w:jc w:val="left"/>
              <w:rPr>
                <w:b/>
                <w:b/>
              </w:rPr>
            </w:pPr>
            <w:r>
              <w:rPr/>
              <w:t>_______________________________________________________</w:t>
            </w:r>
          </w:p>
        </w:tc>
      </w:tr>
    </w:tbl>
    <w:p>
      <w:pPr>
        <w:pStyle w:val="Normal1"/>
        <w:widowControl w:val="false"/>
        <w:pBdr/>
        <w:rPr>
          <w:b/>
          <w:b/>
        </w:rPr>
      </w:pPr>
      <w:r>
        <w:rPr>
          <w:b/>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pPr>
      <w:r>
        <w:rPr/>
      </w:r>
    </w:p>
    <w:p>
      <w:pPr>
        <w:pStyle w:val="Normal1"/>
        <w:widowControl w:val="false"/>
        <w:pBdr/>
        <w:spacing w:lineRule="auto" w:line="240"/>
        <w:rPr/>
      </w:pPr>
      <w:r>
        <w:rPr/>
      </w:r>
      <w:r>
        <w:br w:type="page"/>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3znysh7"/>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Normal1"/>
        <w:rPr/>
      </w:pPr>
      <w:r>
        <w:rPr/>
        <w:t>El estudiante al finalizar la práctica tendrá los fundamentos suficientes para interpretar la importancia de la frecuencia de muestreo en GNURadio. Iniciando de problemas particulares con señales senoidales hasta llegar a señales reales (audios, voz pregrabada y canciones disponibles en la internet).</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tyjcwt"/>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Normal1"/>
        <w:rPr/>
      </w:pPr>
      <w:r>
        <w:rPr/>
        <w:t xml:space="preserve">Desarrollar habilidades en el manejo de GNURadio y resaltar la importancia de la frecuencia de muestreo como variable general de los sistemas implementados en el mismo. </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7" w:name="_heading=h.3dy6vkm"/>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Normal1"/>
        <w:rPr/>
      </w:pPr>
      <w:r>
        <w:rPr/>
        <w:t xml:space="preserve">¿Qué es Gnuradio y que podemos hacer con este programa? </w:t>
      </w:r>
      <w:hyperlink r:id="rId2">
        <w:r>
          <w:rPr>
            <w:color w:val="1155CC"/>
            <w:u w:val="single"/>
          </w:rPr>
          <w:t>Clic aquí</w:t>
        </w:r>
      </w:hyperlink>
      <w:r>
        <w:rPr/>
        <w:t xml:space="preserve"> </w:t>
      </w:r>
    </w:p>
    <w:p>
      <w:pPr>
        <w:pStyle w:val="Normal1"/>
        <w:rPr/>
      </w:pPr>
      <w:r>
        <w:rPr>
          <w:color w:val="FF0000"/>
        </w:rPr>
        <w:t xml:space="preserve">Lectura obligada: </w:t>
      </w:r>
      <w:r>
        <w:rPr/>
        <w:t xml:space="preserve">Conceptos sobre el teorema de muestreo de Nyquist </w:t>
      </w:r>
      <w:hyperlink r:id="rId3">
        <w:r>
          <w:rPr>
            <w:color w:val="0000FF"/>
            <w:u w:val="single"/>
          </w:rPr>
          <w:t>Clic Aquí</w:t>
        </w:r>
      </w:hyperlink>
      <w:r>
        <w:rPr/>
        <w:t xml:space="preserve"> </w:t>
      </w:r>
    </w:p>
    <w:p>
      <w:pPr>
        <w:pStyle w:val="Normal1"/>
        <w:rPr/>
      </w:pPr>
      <w:r>
        <w:rPr/>
        <w:t xml:space="preserve">Diezmado e interpolado en señales discretas  </w:t>
      </w:r>
      <w:hyperlink r:id="rId4">
        <w:r>
          <w:rPr>
            <w:color w:val="1155CC"/>
            <w:u w:val="single"/>
          </w:rPr>
          <w:t>Clic Aquí</w:t>
        </w:r>
      </w:hyperlink>
      <w:r>
        <w:rPr/>
        <w:t xml:space="preserve"> </w:t>
      </w:r>
    </w:p>
    <w:p>
      <w:pPr>
        <w:pStyle w:val="Normal1"/>
        <w:keepNext w:val="true"/>
        <w:keepLines/>
        <w:widowControl/>
        <w:pBdr/>
        <w:shd w:val="clear" w:fill="auto"/>
        <w:spacing w:lineRule="auto" w:line="252" w:before="320" w:after="40"/>
        <w:ind w:left="0" w:right="0" w:hanging="0"/>
        <w:jc w:val="both"/>
        <w:rPr/>
      </w:pPr>
      <w:bookmarkStart w:id="8" w:name="_heading=h.1t3h5sf"/>
      <w:bookmarkEnd w:id="8"/>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Normal1"/>
        <w:numPr>
          <w:ilvl w:val="0"/>
          <w:numId w:val="1"/>
        </w:numPr>
        <w:pBdr/>
        <w:ind w:left="400" w:hanging="360"/>
        <w:rPr/>
      </w:pPr>
      <w:r>
        <w:rPr/>
        <w:t>Demuestra el teorema de muestreo de Nyquist usando señales senoidales.  Para ello, cree un diagrama de bloques como el que se muestra a continuación:</w:t>
      </w:r>
    </w:p>
    <w:p>
      <w:pPr>
        <w:pStyle w:val="Normal1"/>
        <w:pBdr/>
        <w:ind w:left="40" w:hanging="0"/>
        <w:jc w:val="center"/>
        <w:rPr/>
      </w:pPr>
      <w:r>
        <w:rPr/>
        <w:drawing>
          <wp:inline distT="0" distB="0" distL="0" distR="0">
            <wp:extent cx="4900930" cy="2501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900930" cy="2501900"/>
                    </a:xfrm>
                    <a:prstGeom prst="rect">
                      <a:avLst/>
                    </a:prstGeom>
                  </pic:spPr>
                </pic:pic>
              </a:graphicData>
            </a:graphic>
          </wp:inline>
        </w:drawing>
      </w:r>
    </w:p>
    <w:p>
      <w:pPr>
        <w:pStyle w:val="Normal1"/>
        <w:pBdr/>
        <w:ind w:left="40" w:hanging="0"/>
        <w:jc w:val="center"/>
        <w:rPr/>
      </w:pPr>
      <w:r>
        <w:rPr/>
        <w:t>“</w:t>
      </w:r>
      <w:r>
        <w:rPr/>
        <w:t xml:space="preserve">No olvide asignar la variable </w:t>
      </w:r>
      <w:r>
        <w:rPr>
          <w:b/>
        </w:rPr>
        <w:t>freq</w:t>
      </w:r>
      <w:r>
        <w:rPr/>
        <w:t xml:space="preserve"> al bloque signal source”</w:t>
      </w:r>
    </w:p>
    <w:p>
      <w:pPr>
        <w:pStyle w:val="Normal1"/>
        <w:keepNext w:val="false"/>
        <w:keepLines w:val="false"/>
        <w:widowControl/>
        <w:numPr>
          <w:ilvl w:val="0"/>
          <w:numId w:val="2"/>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límites de Nyquist usando valores de frecuencia de muestreo (variable: samp_rate) y frecuencia de la señal de referencia (Bloque: signal Source). Describa en un </w:t>
      </w:r>
      <w:r>
        <w:rPr/>
        <w:t xml:space="preserve">párrafo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las desventajas o ventajas al llegar a este límite; apoye s</w:t>
      </w:r>
      <w:r>
        <w:rPr/>
        <w:t xml:space="preserve">u argumento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con una imagen. Configur</w:t>
      </w:r>
      <w:r>
        <w:rPr/>
        <w:t xml:space="preserve">e las opciones del bloque </w:t>
      </w:r>
      <w:r>
        <w:rPr>
          <w:b/>
        </w:rPr>
        <w:t>QT_GUI time Sink</w:t>
      </w:r>
      <w:r>
        <w:rPr/>
        <w:t xml:space="preserve"> para visualizar las muestras (stem)  de la señal.</w:t>
      </w:r>
    </w:p>
    <w:p>
      <w:pPr>
        <w:pStyle w:val="Normal1"/>
        <w:keepNext w:val="false"/>
        <w:keepLines w:val="false"/>
        <w:widowControl/>
        <w:pBdr/>
        <w:shd w:val="clear" w:fill="auto"/>
        <w:spacing w:lineRule="auto" w:line="252" w:before="0" w:after="0"/>
        <w:ind w:left="0" w:right="0" w:hanging="0"/>
        <w:jc w:val="both"/>
        <w:rPr/>
      </w:pPr>
      <w:r>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Inserte la gráfica donde demuestre que el límite se encuentra cuando samp_rate =2*freq </w:t>
            </w:r>
          </w:p>
        </w:tc>
      </w:tr>
    </w:tbl>
    <w:p>
      <w:pPr>
        <w:pStyle w:val="Normal1"/>
        <w:keepNext w:val="false"/>
        <w:keepLines w:val="false"/>
        <w:widowControl/>
        <w:pBdr/>
        <w:shd w:val="clear" w:fill="auto"/>
        <w:spacing w:lineRule="auto" w:line="252" w:before="0" w:after="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15912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6"/>
                    <a:srcRect l="0" t="0" r="0" b="5505"/>
                    <a:stretch>
                      <a:fillRect/>
                    </a:stretch>
                  </pic:blipFill>
                  <pic:spPr bwMode="auto">
                    <a:xfrm>
                      <a:off x="0" y="0"/>
                      <a:ext cx="5943600" cy="3159125"/>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de muestreo (samp_rate/</w:t>
      </w:r>
      <w:r>
        <w:rPr/>
        <w:t>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6</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Describa en un párrafo las desventajas o ventajas al llegar a este límite; apoye su argumento con una imagen</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spacing w:lineRule="auto" w:line="252" w:before="0" w:after="0"/>
        <w:ind w:left="0" w:right="0" w:hanging="0"/>
        <w:jc w:val="both"/>
        <w:rPr/>
      </w:pPr>
      <w:r>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Inserte la gráfica donde samp_rate =6*freq </w:t>
            </w:r>
          </w:p>
        </w:tc>
      </w:tr>
    </w:tbl>
    <w:p>
      <w:pPr>
        <w:pStyle w:val="Normal1"/>
        <w:keepNext w:val="false"/>
        <w:keepLines w:val="false"/>
        <w:widowControl/>
        <w:pBdr/>
        <w:shd w:val="clear" w:fill="auto"/>
        <w:spacing w:lineRule="auto" w:line="252" w:before="0" w:after="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14579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7"/>
                    <a:srcRect l="0" t="0" r="0" b="5900"/>
                    <a:stretch>
                      <a:fillRect/>
                    </a:stretch>
                  </pic:blipFill>
                  <pic:spPr bwMode="auto">
                    <a:xfrm>
                      <a:off x="0" y="0"/>
                      <a:ext cx="5943600" cy="3145790"/>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16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w:t>
      </w:r>
      <w:r>
        <w:rPr/>
        <w:t>samp_rate/frequency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12</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Describa en un párrafo las desventajas o ventajas al llegar a este límite; apoye su argumento con una imagen. </w:t>
      </w:r>
    </w:p>
    <w:p>
      <w:pPr>
        <w:pStyle w:val="Normal1"/>
        <w:spacing w:lineRule="auto" w:line="240" w:before="0" w:after="0"/>
        <w:rPr/>
      </w:pPr>
      <w:r>
        <w:rPr/>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 xml:space="preserve">Inserte la gráfica donde samp_rate =12*freq </w:t>
            </w:r>
          </w:p>
        </w:tc>
      </w:tr>
    </w:tbl>
    <w:p>
      <w:pPr>
        <w:pStyle w:val="Normal1"/>
        <w:keepNext w:val="false"/>
        <w:keepLines w:val="false"/>
        <w:widowControl/>
        <w:pBdr/>
        <w:shd w:val="clear" w:fill="auto"/>
        <w:spacing w:lineRule="auto" w:line="252" w:before="0" w:after="160"/>
        <w:ind w:left="0" w:right="0" w:hanging="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16801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8"/>
                    <a:srcRect l="0" t="0" r="0" b="5242"/>
                    <a:stretch>
                      <a:fillRect/>
                    </a:stretch>
                  </pic:blipFill>
                  <pic:spPr bwMode="auto">
                    <a:xfrm>
                      <a:off x="0" y="0"/>
                      <a:ext cx="5943600" cy="3168015"/>
                    </a:xfrm>
                    <a:prstGeom prst="rect">
                      <a:avLst/>
                    </a:prstGeom>
                  </pic:spPr>
                </pic:pic>
              </a:graphicData>
            </a:graphic>
          </wp:anchor>
        </w:drawing>
      </w:r>
    </w:p>
    <w:p>
      <w:pPr>
        <w:pStyle w:val="Normal1"/>
        <w:pBdr/>
        <w:ind w:left="40" w:hanging="0"/>
        <w:rPr/>
      </w:pPr>
      <w:r>
        <w:rPr>
          <w:b/>
          <w:sz w:val="16"/>
          <w:szCs w:val="16"/>
        </w:rPr>
        <w:t>Nota:</w:t>
      </w:r>
      <w:r>
        <w:rPr>
          <w:sz w:val="16"/>
          <w:szCs w:val="16"/>
        </w:rPr>
        <w:t xml:space="preserve"> en cada uno de los bloques de GNURADIO no se debe manipular la variable </w:t>
      </w:r>
      <w:r>
        <w:rPr>
          <w:b/>
          <w:i/>
          <w:sz w:val="16"/>
          <w:szCs w:val="16"/>
        </w:rPr>
        <w:t>samp_rate</w:t>
      </w:r>
      <w:r>
        <w:rPr>
          <w:sz w:val="16"/>
          <w:szCs w:val="16"/>
        </w:rPr>
        <w:t xml:space="preserve"> a menos que realice un procedimiento de cambio en la frecuencia de muestreo. </w:t>
      </w:r>
    </w:p>
    <w:p>
      <w:pPr>
        <w:pStyle w:val="Normal1"/>
        <w:numPr>
          <w:ilvl w:val="0"/>
          <w:numId w:val="1"/>
        </w:numPr>
        <w:pBdr/>
        <w:ind w:left="400" w:hanging="360"/>
        <w:rPr/>
      </w:pPr>
      <w:r>
        <w:rPr/>
        <w:t>Demuestre el efecto al diezmar e interpolar una señal (use como referencia una señal coseno) y realice el siguiente montaje</w:t>
      </w:r>
    </w:p>
    <w:p>
      <w:pPr>
        <w:pStyle w:val="Normal1"/>
        <w:pBdr/>
        <w:ind w:left="400" w:hanging="0"/>
        <w:jc w:val="center"/>
        <w:rPr/>
      </w:pPr>
      <w:r>
        <w:rPr/>
        <w:drawing>
          <wp:inline distT="0" distB="0" distL="0" distR="0">
            <wp:extent cx="5576570" cy="263652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576570" cy="2636520"/>
                    </a:xfrm>
                    <a:prstGeom prst="rect">
                      <a:avLst/>
                    </a:prstGeom>
                  </pic:spPr>
                </pic:pic>
              </a:graphicData>
            </a:graphic>
          </wp:inline>
        </w:drawing>
      </w:r>
    </w:p>
    <w:p>
      <w:pPr>
        <w:pStyle w:val="Normal1"/>
        <w:pBdr/>
        <w:ind w:left="400" w:hanging="0"/>
        <w:rPr/>
      </w:pPr>
      <w:r>
        <w:rPr/>
        <w:t xml:space="preserve">Use al menos un valor diferente al presentado en la imagen tanto para el parámetro </w:t>
      </w:r>
      <w:r>
        <w:rPr>
          <w:i/>
        </w:rPr>
        <w:t>decimation</w:t>
      </w:r>
      <w:r>
        <w:rPr/>
        <w:t xml:space="preserve"> e </w:t>
      </w:r>
      <w:r>
        <w:rPr>
          <w:i/>
        </w:rPr>
        <w:t>interpolation</w:t>
      </w:r>
      <w:r>
        <w:rPr/>
        <w:t xml:space="preserve"> de tal forma que le permita argumentar la importancia de cada uno de ellos. Describa su experiencia. Configure las opciones del bloque QT_GUI time Sink para visualizar las muestras (stem) de la señal.</w:t>
      </w:r>
    </w:p>
    <w:p>
      <w:pPr>
        <w:pStyle w:val="Normal1"/>
        <w:pBdr/>
        <w:ind w:left="400" w:hanging="0"/>
        <w:rPr/>
      </w:pPr>
      <w:r>
        <w:rPr/>
      </w:r>
    </w:p>
    <w:tbl>
      <w:tblPr>
        <w:tblStyle w:val="Table6"/>
        <w:tblW w:w="8960" w:type="dxa"/>
        <w:jc w:val="left"/>
        <w:tblInd w:w="500" w:type="dxa"/>
        <w:tblCellMar>
          <w:top w:w="100" w:type="dxa"/>
          <w:left w:w="100" w:type="dxa"/>
          <w:bottom w:w="100" w:type="dxa"/>
          <w:right w:w="100" w:type="dxa"/>
        </w:tblCellMar>
        <w:tblLook w:val="0600"/>
      </w:tblPr>
      <w:tblGrid>
        <w:gridCol w:w="8960"/>
      </w:tblGrid>
      <w:tr>
        <w:trPr/>
        <w:tc>
          <w:tcPr>
            <w:tcW w:w="89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Inserte una gráfica que describa la diferencia entre el diezmado e interpolado de una señal de referencia.</w:t>
            </w:r>
          </w:p>
          <w:p>
            <w:pPr>
              <w:pStyle w:val="Normal1"/>
              <w:widowControl w:val="false"/>
              <w:pBdr/>
              <w:shd w:val="clear" w:fill="auto"/>
              <w:spacing w:lineRule="auto" w:line="240" w:before="0" w:after="0"/>
              <w:ind w:left="0" w:right="0" w:hanging="0"/>
              <w:jc w:val="left"/>
              <w:rPr/>
            </w:pPr>
            <w:r>
              <w:rPr/>
            </w:r>
          </w:p>
        </w:tc>
      </w:tr>
    </w:tbl>
    <w:p>
      <w:pPr>
        <w:pStyle w:val="Normal1"/>
        <w:numPr>
          <w:ilvl w:val="0"/>
          <w:numId w:val="0"/>
        </w:numPr>
        <w:pBdr/>
        <w:ind w:left="760"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61815" cy="2270125"/>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10"/>
                    <a:srcRect l="0" t="0" r="0" b="7458"/>
                    <a:stretch>
                      <a:fillRect/>
                    </a:stretch>
                  </pic:blipFill>
                  <pic:spPr bwMode="auto">
                    <a:xfrm>
                      <a:off x="0" y="0"/>
                      <a:ext cx="4361815" cy="2270125"/>
                    </a:xfrm>
                    <a:prstGeom prst="rect">
                      <a:avLst/>
                    </a:prstGeom>
                  </pic:spPr>
                </pic:pic>
              </a:graphicData>
            </a:graphic>
          </wp:anchor>
        </w:drawing>
      </w:r>
    </w:p>
    <w:p>
      <w:pPr>
        <w:pStyle w:val="Normal1"/>
        <w:numPr>
          <w:ilvl w:val="0"/>
          <w:numId w:val="0"/>
        </w:numPr>
        <w:pBdr/>
        <w:ind w:left="720" w:hanging="0"/>
        <w:rPr/>
      </w:pPr>
      <w:r>
        <w:rPr/>
        <w:t xml:space="preserve"> </w:t>
      </w:r>
    </w:p>
    <w:p>
      <w:pPr>
        <w:pStyle w:val="Normal1"/>
        <w:pBdr/>
        <w:ind w:hanging="0"/>
        <w:rPr/>
      </w:pPr>
      <w:r>
        <w:rPr/>
        <w:t xml:space="preserve"> </w:t>
      </w:r>
    </w:p>
    <w:p>
      <w:pPr>
        <w:pStyle w:val="Normal1"/>
        <w:pBdr/>
        <w:ind w:hanging="0"/>
        <w:rPr/>
      </w:pPr>
      <w:r>
        <w:rPr/>
      </w:r>
    </w:p>
    <w:p>
      <w:pPr>
        <w:pStyle w:val="Normal1"/>
        <w:pBdr/>
        <w:ind w:hanging="0"/>
        <w:rPr/>
      </w:pPr>
      <w:r>
        <w:drawing>
          <wp:anchor behindDoc="0" distT="0" distB="0" distL="0" distR="0" simplePos="0" locked="0" layoutInCell="1" allowOverlap="1" relativeHeight="8">
            <wp:simplePos x="0" y="0"/>
            <wp:positionH relativeFrom="column">
              <wp:posOffset>0</wp:posOffset>
            </wp:positionH>
            <wp:positionV relativeFrom="paragraph">
              <wp:posOffset>384175</wp:posOffset>
            </wp:positionV>
            <wp:extent cx="5417185" cy="266763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11"/>
                    <a:srcRect l="0" t="6110" r="0" b="6341"/>
                    <a:stretch>
                      <a:fillRect/>
                    </a:stretch>
                  </pic:blipFill>
                  <pic:spPr bwMode="auto">
                    <a:xfrm>
                      <a:off x="0" y="0"/>
                      <a:ext cx="5417185" cy="2667635"/>
                    </a:xfrm>
                    <a:prstGeom prst="rect">
                      <a:avLst/>
                    </a:prstGeom>
                  </pic:spPr>
                </pic:pic>
              </a:graphicData>
            </a:graphic>
          </wp:anchor>
        </w:drawing>
      </w:r>
      <w:r>
        <w:rPr/>
        <w:t>3</w:t>
      </w:r>
      <w:r>
        <w:rPr/>
        <w:t>.</w:t>
      </w:r>
      <w:r>
        <w:rPr/>
        <w:t xml:space="preserve">Multiplique tres señales tipo coseno como se muestra en el siguiente diagrama (Use valores de frecuencia de la señal A la suma de los últimos dígitos del código de cada estudiante del grupo de laboratorio en kHz y la señal B la multiplicación de los últimos dígitos del código de cada estudiante del grupo de laboratorio en kHz. Encuentre el valor de la frecuencia de muestreo que debe usar en el sistema para visualizar y procesar la información.  Describa la experiencia. </w:t>
      </w:r>
    </w:p>
    <w:p>
      <w:pPr>
        <w:pStyle w:val="Normal1"/>
        <w:pBdr/>
        <w:ind w:hanging="0"/>
        <w:rPr/>
      </w:pPr>
      <w:r>
        <w:rPr/>
      </w:r>
    </w:p>
    <w:p>
      <w:pPr>
        <w:pStyle w:val="Normal1"/>
        <w:pBdr/>
        <w:ind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343275"/>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12"/>
                    <a:stretch>
                      <a:fillRect/>
                    </a:stretch>
                  </pic:blipFill>
                  <pic:spPr bwMode="auto">
                    <a:xfrm>
                      <a:off x="0" y="0"/>
                      <a:ext cx="5943600" cy="3343275"/>
                    </a:xfrm>
                    <a:prstGeom prst="rect">
                      <a:avLst/>
                    </a:prstGeom>
                  </pic:spPr>
                </pic:pic>
              </a:graphicData>
            </a:graphic>
          </wp:anchor>
        </w:drawing>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3343275"/>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3"/>
                    <a:stretch>
                      <a:fillRect/>
                    </a:stretch>
                  </pic:blipFill>
                  <pic:spPr bwMode="auto">
                    <a:xfrm>
                      <a:off x="0" y="0"/>
                      <a:ext cx="5943600" cy="3343275"/>
                    </a:xfrm>
                    <a:prstGeom prst="rect">
                      <a:avLst/>
                    </a:prstGeom>
                  </pic:spPr>
                </pic:pic>
              </a:graphicData>
            </a:graphic>
          </wp:anchor>
        </w:drawing>
      </w:r>
    </w:p>
    <w:p>
      <w:pPr>
        <w:pStyle w:val="Normal1"/>
        <w:pBdr/>
        <w:ind w:left="40" w:hanging="0"/>
        <w:rPr>
          <w:sz w:val="16"/>
          <w:szCs w:val="16"/>
        </w:rPr>
      </w:pPr>
      <w:r>
        <w:rPr>
          <w:b/>
          <w:sz w:val="16"/>
          <w:szCs w:val="16"/>
        </w:rPr>
        <w:t>Nota:</w:t>
      </w:r>
      <w:r>
        <w:rPr>
          <w:sz w:val="16"/>
          <w:szCs w:val="16"/>
        </w:rPr>
        <w:t xml:space="preserve"> si el último dígito del código es cero se debe tomar como diez. Ejemplo: Bob (cód: 2068123) Alice (cód: 2128196) y Grace (cód: 2176120). De esta forma la frecuencia de la señal A es igual a 19 (3+6+10) kHz y la frecuencia de la señal B es 180 = (3*6*10) Hz.</w:t>
      </w:r>
    </w:p>
    <w:p>
      <w:pPr>
        <w:pStyle w:val="Normal1"/>
        <w:keepNext w:val="true"/>
        <w:keepLines/>
        <w:widowControl/>
        <w:pBdr/>
        <w:shd w:val="clear" w:fill="auto"/>
        <w:spacing w:lineRule="auto" w:line="252" w:before="320" w:after="40"/>
        <w:ind w:left="0" w:right="0" w:hanging="0"/>
        <w:jc w:val="both"/>
        <w:rPr/>
      </w:pPr>
      <w:r>
        <w:rPr/>
      </w:r>
    </w:p>
    <w:p>
      <w:pPr>
        <w:pStyle w:val="Normal1"/>
        <w:keepNext w:val="true"/>
        <w:keepLines/>
        <w:widowControl/>
        <w:pBdr/>
        <w:shd w:val="clear" w:fill="auto"/>
        <w:spacing w:lineRule="auto" w:line="252"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sectPr>
      <w:headerReference w:type="default" r:id="rId14"/>
      <w:headerReference w:type="first" r:id="rId15"/>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val="false"/>
      <w:pBdr/>
      <w:spacing w:lineRule="auto" w:line="240"/>
      <w:jc w:val="right"/>
      <w:rPr/>
    </w:pPr>
    <w:r>
      <w:rPr/>
    </w:r>
  </w:p>
  <w:p>
    <w:pPr>
      <w:pStyle w:val="Normal1"/>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60" w:hanging="360"/>
      </w:pPr>
    </w:lvl>
    <w:lvl w:ilvl="1">
      <w:start w:val="1"/>
      <w:numFmt w:val="lowerLetter"/>
      <w:lvlText w:val="%2."/>
      <w:lvlJc w:val="left"/>
      <w:pPr>
        <w:tabs>
          <w:tab w:val="num" w:pos="0"/>
        </w:tabs>
        <w:ind w:left="1480" w:hanging="360"/>
      </w:pPr>
    </w:lvl>
    <w:lvl w:ilvl="2">
      <w:start w:val="1"/>
      <w:numFmt w:val="lowerRoman"/>
      <w:lvlText w:val="%3."/>
      <w:lvlJc w:val="right"/>
      <w:pPr>
        <w:tabs>
          <w:tab w:val="num" w:pos="0"/>
        </w:tabs>
        <w:ind w:left="2200" w:hanging="180"/>
      </w:pPr>
    </w:lvl>
    <w:lvl w:ilvl="3">
      <w:start w:val="1"/>
      <w:numFmt w:val="decimal"/>
      <w:lvlText w:val="%4."/>
      <w:lvlJc w:val="left"/>
      <w:pPr>
        <w:tabs>
          <w:tab w:val="num" w:pos="0"/>
        </w:tabs>
        <w:ind w:left="2920" w:hanging="360"/>
      </w:pPr>
    </w:lvl>
    <w:lvl w:ilvl="4">
      <w:start w:val="1"/>
      <w:numFmt w:val="lowerLetter"/>
      <w:lvlText w:val="%5."/>
      <w:lvlJc w:val="left"/>
      <w:pPr>
        <w:tabs>
          <w:tab w:val="num" w:pos="0"/>
        </w:tabs>
        <w:ind w:left="3640" w:hanging="360"/>
      </w:pPr>
    </w:lvl>
    <w:lvl w:ilvl="5">
      <w:start w:val="1"/>
      <w:numFmt w:val="lowerRoman"/>
      <w:lvlText w:val="%6."/>
      <w:lvlJc w:val="right"/>
      <w:pPr>
        <w:tabs>
          <w:tab w:val="num" w:pos="0"/>
        </w:tabs>
        <w:ind w:left="4360" w:hanging="180"/>
      </w:pPr>
    </w:lvl>
    <w:lvl w:ilvl="6">
      <w:start w:val="1"/>
      <w:numFmt w:val="decimal"/>
      <w:lvlText w:val="%7."/>
      <w:lvlJc w:val="left"/>
      <w:pPr>
        <w:tabs>
          <w:tab w:val="num" w:pos="0"/>
        </w:tabs>
        <w:ind w:left="5080" w:hanging="360"/>
      </w:pPr>
    </w:lvl>
    <w:lvl w:ilvl="7">
      <w:start w:val="1"/>
      <w:numFmt w:val="lowerLetter"/>
      <w:lvlText w:val="%8."/>
      <w:lvlJc w:val="left"/>
      <w:pPr>
        <w:tabs>
          <w:tab w:val="num" w:pos="0"/>
        </w:tabs>
        <w:ind w:left="5800" w:hanging="360"/>
      </w:pPr>
    </w:lvl>
    <w:lvl w:ilvl="8">
      <w:start w:val="1"/>
      <w:numFmt w:val="lowerRoman"/>
      <w:lvlText w:val="%9."/>
      <w:lvlJc w:val="right"/>
      <w:pPr>
        <w:tabs>
          <w:tab w:val="num" w:pos="0"/>
        </w:tabs>
        <w:ind w:left="65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zh-CN" w:bidi="hi-IN"/>
      </w:rPr>
    </w:rPrDefault>
    <w:pPrDefault>
      <w:pPr>
        <w:suppressAutoHyphens w:val="true"/>
      </w:pPr>
    </w:pPrDefault>
  </w:docDefaults>
  <w:style w:type="paragraph" w:styleId="Normal" w:default="1">
    <w:name w:val="Normal"/>
    <w:qFormat/>
    <w:rsid w:val="00875f18"/>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Normal1"/>
    <w:next w:val="Normal1"/>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Normal1"/>
    <w:next w:val="Normal1"/>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Normal1"/>
    <w:next w:val="Normal1"/>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Normal1"/>
    <w:next w:val="Normal1"/>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Normal1"/>
    <w:next w:val="Normal1"/>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Normal1"/>
    <w:next w:val="Normal1"/>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Normal1"/>
    <w:next w:val="Normal1"/>
    <w:link w:val="Ttulo7Car"/>
    <w:uiPriority w:val="9"/>
    <w:semiHidden/>
    <w:unhideWhenUsed/>
    <w:qFormat/>
    <w:rsid w:val="00875f18"/>
    <w:pPr>
      <w:keepNext w:val="true"/>
      <w:keepLines/>
      <w:spacing w:before="120" w:after="0"/>
      <w:outlineLvl w:val="6"/>
    </w:pPr>
    <w:rPr>
      <w:i/>
      <w:iCs/>
    </w:rPr>
  </w:style>
  <w:style w:type="paragraph" w:styleId="Ttulo8">
    <w:name w:val="Heading 8"/>
    <w:basedOn w:val="Normal1"/>
    <w:next w:val="Normal1"/>
    <w:link w:val="Ttulo8Car"/>
    <w:uiPriority w:val="9"/>
    <w:semiHidden/>
    <w:unhideWhenUsed/>
    <w:qFormat/>
    <w:rsid w:val="00875f18"/>
    <w:pPr>
      <w:keepNext w:val="true"/>
      <w:keepLines/>
      <w:spacing w:before="120" w:after="0"/>
      <w:outlineLvl w:val="7"/>
    </w:pPr>
    <w:rPr>
      <w:b/>
      <w:bCs/>
    </w:rPr>
  </w:style>
  <w:style w:type="paragraph" w:styleId="Ttulo9">
    <w:name w:val="Heading 9"/>
    <w:basedOn w:val="Normal1"/>
    <w:next w:val="Normal1"/>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general">
    <w:name w:val="Title"/>
    <w:basedOn w:val="Normal1"/>
    <w:next w:val="Normal1"/>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1"/>
    <w:next w:val="Normal1"/>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Normal1"/>
    <w:next w:val="Normal1"/>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Normal1"/>
    <w:next w:val="Normal1"/>
    <w:link w:val="CitaC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1"/>
    <w:next w:val="Normal1"/>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Normal1"/>
    <w:uiPriority w:val="39"/>
    <w:semiHidden/>
    <w:unhideWhenUsed/>
    <w:qFormat/>
    <w:rsid w:val="00875f18"/>
    <w:pPr/>
    <w:rPr/>
  </w:style>
  <w:style w:type="paragraph" w:styleId="Cabeceraypie">
    <w:name w:val="Cabecera y pie"/>
    <w:basedOn w:val="Normal"/>
    <w:qFormat/>
    <w:pPr/>
    <w:rPr/>
  </w:style>
  <w:style w:type="paragraph" w:styleId="Cabecera">
    <w:name w:val="Header"/>
    <w:basedOn w:val="Normal1"/>
    <w:link w:val="EncabezadoC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30a2"/>
    <w:pPr/>
    <w:rPr>
      <w:b/>
      <w:bCs/>
    </w:rPr>
  </w:style>
  <w:style w:type="paragraph" w:styleId="BalloonText">
    <w:name w:val="Balloon Text"/>
    <w:basedOn w:val="Normal1"/>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1"/>
    <w:uiPriority w:val="34"/>
    <w:qFormat/>
    <w:rsid w:val="00286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Nyquist&#8211;Shannon_sampling_theorem" TargetMode="External"/><Relationship Id="rId4" Type="http://schemas.openxmlformats.org/officeDocument/2006/relationships/hyperlink" Target="https://www.eetimes.com/multirate-dsp-part-1-upsampling-and-downsampling/?page_number=3"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2ErpiT/92RxiYCANjTTh5jscxw==">AMUW2mVuZotbaxCenV6wUKxhmbtx6iyP6jsuDRPwmmm/KdI+zQfbWVWQRUEWfmrXS68k4lfLLQBpdSw+RqkXXJscAtWaZuZgQ9OFcONawuIVluymthvTyOAjuKF2vWDQ8HF3wOwFzlJNQysvTv4QAastsL2XpB/kioiXOFLrqI2BfEg669D2aroljNUl6DLCM37aOqC0iAx+Y69BU/olcZuWHQ075qfhqElwJsi/z3K/RLVLR3zuIAQ3FuEPe2tR09PPvdaX/1m9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7</Pages>
  <Words>577</Words>
  <Characters>3206</Characters>
  <CharactersWithSpaces>3761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2022-04-29T16:04:56Z</dcterms:modified>
  <cp:revision>1</cp:revision>
  <dc:subject/>
  <dc:title/>
</cp:coreProperties>
</file>