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hd w:val="clear" w:color="auto" w:fill="F2F2F2"/>
        <w:jc w:val="center"/>
        <w:rPr>
          <w:rFonts w:ascii="Verdana" w:hAnsi="Verdana"/>
          <w:b/>
          <w:b/>
          <w:i/>
          <w:i/>
          <w:sz w:val="22"/>
          <w:szCs w:val="22"/>
          <w:lang w:val="es-ES"/>
        </w:rPr>
      </w:pPr>
      <w:r>
        <w:rPr>
          <w:rFonts w:ascii="Verdana" w:hAnsi="Verdana"/>
          <w:b/>
          <w:i/>
          <w:sz w:val="22"/>
          <w:szCs w:val="22"/>
          <w:lang w:val="es-ES"/>
        </w:rPr>
        <w:t>ACTA DE CONSTITUCIÓN DEL PROYECTO</w:t>
      </w:r>
    </w:p>
    <w:p>
      <w:pPr>
        <w:pStyle w:val="Normal"/>
        <w:jc w:val="center"/>
        <w:rPr>
          <w:rFonts w:ascii="Verdana" w:hAnsi="Verdana"/>
          <w:b/>
          <w:b/>
          <w:i/>
          <w:i/>
          <w:sz w:val="22"/>
          <w:szCs w:val="22"/>
          <w:lang w:val="es-ES"/>
        </w:rPr>
      </w:pPr>
      <w:r>
        <w:rPr>
          <w:rFonts w:ascii="Verdana" w:hAnsi="Verdana"/>
          <w:b/>
          <w:i/>
          <w:sz w:val="22"/>
          <w:szCs w:val="22"/>
          <w:lang w:val="es-ES"/>
        </w:rPr>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2657"/>
        <w:gridCol w:w="427"/>
        <w:gridCol w:w="1537"/>
        <w:gridCol w:w="4620"/>
      </w:tblGrid>
      <w:tr>
        <w:trPr/>
        <w:tc>
          <w:tcPr>
            <w:tcW w:w="30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 xml:space="preserve">Fecha: </w:t>
            </w:r>
            <w:r>
              <w:rPr>
                <w:rFonts w:ascii="Verdana" w:hAnsi="Verdana"/>
                <w:sz w:val="20"/>
                <w:szCs w:val="20"/>
                <w:lang w:val="es-ES"/>
              </w:rPr>
              <w:t>22/08/2018</w:t>
            </w:r>
          </w:p>
          <w:p>
            <w:pPr>
              <w:pStyle w:val="Normal"/>
              <w:rPr>
                <w:rFonts w:ascii="Verdana" w:hAnsi="Verdana"/>
                <w:b/>
                <w:b/>
                <w:sz w:val="20"/>
                <w:szCs w:val="20"/>
                <w:lang w:val="es-ES"/>
              </w:rPr>
            </w:pPr>
            <w:r>
              <w:rPr>
                <w:rFonts w:ascii="Verdana" w:hAnsi="Verdana"/>
                <w:b/>
                <w:sz w:val="20"/>
                <w:szCs w:val="20"/>
                <w:lang w:val="es-ES"/>
              </w:rPr>
            </w:r>
          </w:p>
        </w:tc>
        <w:tc>
          <w:tcPr>
            <w:tcW w:w="61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 xml:space="preserve">Nombre del Proyecto: </w:t>
            </w:r>
            <w:r>
              <w:rPr>
                <w:rFonts w:ascii="Verdana" w:hAnsi="Verdana"/>
                <w:sz w:val="20"/>
                <w:szCs w:val="20"/>
                <w:lang w:val="es-ES"/>
              </w:rPr>
              <w:t>Diseño e implementación del sistema de Pre-Matrículas para la Universidad El Bosque</w:t>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Justificación</w:t>
            </w:r>
          </w:p>
          <w:p>
            <w:pPr>
              <w:pStyle w:val="Normal"/>
              <w:rPr>
                <w:rFonts w:ascii="Verdana" w:hAnsi="Verdana"/>
                <w:b/>
                <w:b/>
                <w:sz w:val="20"/>
                <w:szCs w:val="20"/>
                <w:lang w:val="es-ES"/>
              </w:rPr>
            </w:pPr>
            <w:r>
              <w:rPr>
                <w:rFonts w:ascii="Verdana" w:hAnsi="Verdana"/>
                <w:b/>
                <w:sz w:val="20"/>
                <w:szCs w:val="20"/>
                <w:lang w:val="es-ES"/>
              </w:rPr>
            </w:r>
          </w:p>
          <w:p>
            <w:pPr>
              <w:pStyle w:val="Normal"/>
              <w:rPr/>
            </w:pPr>
            <w:r>
              <w:rPr>
                <w:rFonts w:ascii="Verdana" w:hAnsi="Verdana"/>
                <w:sz w:val="20"/>
                <w:szCs w:val="20"/>
                <w:lang w:val="es-ES"/>
              </w:rPr>
              <w:t>La universidad El Bosque es una institución de educación superior que cuenta con alrededor de 10000 estudiantes activos cada semestre.</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Cada semestre durante el proceso de pre-matrícula los estudiantes ingresan al sistema para gestionar las materias que van a cursar durante el periodo, pero este proceso particularmente presenta muchos inconvenientes en la versión actual, debido a que las facultades designan una cantidad limitada de grupos para cada materia disponible y un cupo de estudiantes también limitado para cada grupo, de modo que, por ejemplo, la materia "Álgebra lineal" puede tener los grupos A1, A2, y A3 con una asignación de cupos A1 = 10 estudiantes, A2 = 12 estudiantes, A3 = 8 estudiantes.</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El problema principal se presenta cuando un estudiante cuando ingresa a hacer su proceso de pre-matrícula al sistema, cuando esto sucede se el presenta al estudiante la disponibilidad de cupos para los grupos de las materias de ese instante, pero durante el transcurso del proceso de pre-matrícula esos cupos pueden ser ocupados por otros estudiantes que tambien estuvieren haciendo la pre-matrícula de las mismas materias simultáneamente, esto debido a que un cupo no se ocupa o se "descuenta" del grupo hasta que la matrícula es terminada, es decir, cuando se registra un pago en el sistema.</w:t>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sz w:val="20"/>
                <w:szCs w:val="20"/>
                <w:lang w:val="es-ES"/>
              </w:rPr>
            </w:pPr>
            <w:r>
              <w:rPr>
                <w:rFonts w:ascii="Verdana" w:hAnsi="Verdana"/>
                <w:sz w:val="20"/>
                <w:szCs w:val="20"/>
                <w:lang w:val="es-ES"/>
              </w:rPr>
              <w:t>Por lo cual en el ejemplo de Álgebra lineal para el grupo A1 que tiene un cupo de 10 estudiantes, si en un mismo instante 20 estudiantes ingresan a seleccionar ese grupo, podrida pasar que al final de la pre-matrícula el grupo quede con 20 estudiantes matriculados.</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De este modo resultan problemas en el resto del proceso institucional como lo son inconsistencias con órdenes de pago por cancelación de pre-matrícula, sobre cupos en los grupos, grupos sin estudiantes asignados, división de grupos por fuerza mayor, contratación adicional de docentes, problemas con asignación de salones etc.</w:t>
            </w:r>
          </w:p>
          <w:p>
            <w:pPr>
              <w:pStyle w:val="Normal"/>
              <w:rPr>
                <w:rFonts w:ascii="Verdana" w:hAnsi="Verdana"/>
                <w:sz w:val="20"/>
                <w:szCs w:val="20"/>
                <w:lang w:val="es-ES"/>
              </w:rPr>
            </w:pPr>
            <w:r>
              <w:rPr>
                <w:rFonts w:ascii="Verdana" w:hAnsi="Verdana"/>
                <w:sz w:val="20"/>
                <w:szCs w:val="20"/>
                <w:lang w:val="es-ES"/>
              </w:rPr>
            </w:r>
            <w:bookmarkStart w:id="0" w:name="_GoBack"/>
            <w:bookmarkStart w:id="1" w:name="_GoBack"/>
            <w:bookmarkEnd w:id="1"/>
          </w:p>
        </w:tc>
      </w:tr>
      <w:tr>
        <w:trPr/>
        <w:tc>
          <w:tcPr>
            <w:tcW w:w="462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Objetivos estratégicos</w:t>
            </w:r>
          </w:p>
          <w:p>
            <w:pPr>
              <w:pStyle w:val="Normal"/>
              <w:rPr>
                <w:rFonts w:ascii="Verdana" w:hAnsi="Verdana"/>
                <w:b/>
                <w:b/>
                <w:sz w:val="20"/>
                <w:szCs w:val="20"/>
                <w:lang w:val="es-ES"/>
              </w:rPr>
            </w:pPr>
            <w:r>
              <w:rPr>
                <w:rFonts w:ascii="Verdana" w:hAnsi="Verdana"/>
                <w:b/>
                <w:sz w:val="20"/>
                <w:szCs w:val="20"/>
                <w:lang w:val="es-ES"/>
              </w:rPr>
            </w:r>
          </w:p>
          <w:p>
            <w:pPr>
              <w:pStyle w:val="Normal"/>
              <w:numPr>
                <w:ilvl w:val="0"/>
                <w:numId w:val="3"/>
              </w:numPr>
              <w:rPr/>
            </w:pPr>
            <w:r>
              <w:rPr>
                <w:rFonts w:ascii="Verdana" w:hAnsi="Verdana"/>
                <w:b w:val="false"/>
                <w:bCs w:val="false"/>
                <w:sz w:val="20"/>
                <w:szCs w:val="20"/>
                <w:lang w:val="es-ES"/>
              </w:rPr>
              <w:t>Autoevaluación y planeación</w:t>
            </w:r>
          </w:p>
          <w:p>
            <w:pPr>
              <w:pStyle w:val="Normal"/>
              <w:numPr>
                <w:ilvl w:val="0"/>
                <w:numId w:val="3"/>
              </w:numPr>
              <w:rPr/>
            </w:pPr>
            <w:r>
              <w:rPr>
                <w:rFonts w:ascii="Verdana" w:hAnsi="Verdana"/>
                <w:b w:val="false"/>
                <w:bCs w:val="false"/>
                <w:sz w:val="20"/>
                <w:szCs w:val="20"/>
                <w:lang w:val="es-ES"/>
              </w:rPr>
              <w:t xml:space="preserve">Desarrollo del entorno para el aprendizaje </w:t>
            </w:r>
          </w:p>
          <w:p>
            <w:pPr>
              <w:pStyle w:val="Normal"/>
              <w:numPr>
                <w:ilvl w:val="0"/>
                <w:numId w:val="3"/>
              </w:numPr>
              <w:rPr/>
            </w:pPr>
            <w:r>
              <w:rPr>
                <w:rFonts w:ascii="Verdana" w:hAnsi="Verdana"/>
                <w:b w:val="false"/>
                <w:bCs w:val="false"/>
                <w:sz w:val="20"/>
                <w:szCs w:val="20"/>
                <w:lang w:val="es-ES"/>
              </w:rPr>
              <w:t xml:space="preserve">Implementación del Sistema de </w:t>
            </w:r>
            <w:r>
              <w:rPr>
                <w:rFonts w:ascii="Verdana" w:hAnsi="Verdana"/>
                <w:b w:val="false"/>
                <w:bCs w:val="false"/>
                <w:sz w:val="20"/>
                <w:szCs w:val="20"/>
                <w:u w:val="none"/>
                <w:lang w:val="es-ES"/>
              </w:rPr>
              <w:t>información</w:t>
            </w:r>
            <w:r>
              <w:rPr>
                <w:rFonts w:ascii="Verdana" w:hAnsi="Verdana"/>
                <w:b w:val="false"/>
                <w:bCs w:val="false"/>
                <w:sz w:val="20"/>
                <w:szCs w:val="20"/>
                <w:lang w:val="es-ES"/>
              </w:rPr>
              <w:t xml:space="preserve"> unificado</w:t>
            </w:r>
          </w:p>
          <w:p>
            <w:pPr>
              <w:pStyle w:val="Normal"/>
              <w:numPr>
                <w:ilvl w:val="0"/>
                <w:numId w:val="3"/>
              </w:numPr>
              <w:rPr>
                <w:rFonts w:ascii="Verdana" w:hAnsi="Verdana"/>
                <w:b w:val="false"/>
                <w:b w:val="false"/>
                <w:sz w:val="20"/>
                <w:szCs w:val="20"/>
                <w:lang w:val="es-ES"/>
              </w:rPr>
            </w:pPr>
            <w:r>
              <w:rPr>
                <w:rFonts w:ascii="Verdana" w:hAnsi="Verdana"/>
                <w:b w:val="false"/>
                <w:bCs w:val="false"/>
                <w:sz w:val="20"/>
                <w:szCs w:val="20"/>
                <w:lang w:val="es-ES"/>
              </w:rPr>
              <w:t>Fortalecimiento del proceso financiero de la pre-matrícula.</w:t>
            </w:r>
          </w:p>
          <w:p>
            <w:pPr>
              <w:pStyle w:val="Normal"/>
              <w:rPr>
                <w:rFonts w:ascii="Verdana" w:hAnsi="Verdana"/>
                <w:b/>
                <w:b/>
                <w:sz w:val="20"/>
                <w:szCs w:val="20"/>
                <w:lang w:val="es-ES"/>
              </w:rPr>
            </w:pPr>
            <w:r>
              <w:rPr>
                <w:rFonts w:ascii="Verdana" w:hAnsi="Verdana"/>
                <w:b/>
                <w:sz w:val="20"/>
                <w:szCs w:val="20"/>
                <w:lang w:val="es-ES"/>
              </w:rPr>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Criterios de éxito</w:t>
            </w:r>
          </w:p>
          <w:p>
            <w:pPr>
              <w:pStyle w:val="Normal"/>
              <w:rPr>
                <w:rFonts w:ascii="Verdana" w:hAnsi="Verdana"/>
                <w:b/>
                <w:b/>
                <w:sz w:val="20"/>
                <w:szCs w:val="20"/>
                <w:lang w:val="es-ES"/>
              </w:rPr>
            </w:pPr>
            <w:r>
              <w:rPr>
                <w:rFonts w:ascii="Verdana" w:hAnsi="Verdana"/>
                <w:b/>
                <w:sz w:val="20"/>
                <w:szCs w:val="20"/>
                <w:lang w:val="es-ES"/>
              </w:rPr>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Que haya aceptación del producto de los lideres interesados</w:t>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Que cumpla con los criterio de calidad de La dirección de Tecnología de la Universidad El Bosque.</w:t>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Disminución de los casos de sobre cupo a un  nivel del 97% actual.</w:t>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 xml:space="preserve">Medición de la disminución del tiempo del proceso de </w:t>
            </w:r>
            <w:r>
              <w:rPr>
                <w:rFonts w:ascii="Verdana" w:hAnsi="Verdana"/>
                <w:b w:val="false"/>
                <w:bCs w:val="false"/>
                <w:sz w:val="20"/>
                <w:szCs w:val="20"/>
                <w:lang w:val="es-ES"/>
              </w:rPr>
              <w:t>p</w:t>
            </w:r>
            <w:r>
              <w:rPr>
                <w:rFonts w:ascii="Verdana" w:hAnsi="Verdana"/>
                <w:b w:val="false"/>
                <w:bCs w:val="false"/>
                <w:sz w:val="20"/>
                <w:szCs w:val="20"/>
                <w:lang w:val="es-ES"/>
              </w:rPr>
              <w:t>matrícula.</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Breve descripción del proyecto</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sz w:val="20"/>
                <w:szCs w:val="20"/>
                <w:lang w:val="es-ES"/>
              </w:rPr>
            </w:pPr>
            <w:r>
              <w:rPr>
                <w:rFonts w:ascii="Verdana" w:hAnsi="Verdana"/>
                <w:sz w:val="20"/>
                <w:szCs w:val="20"/>
                <w:lang w:val="es-ES"/>
              </w:rPr>
              <w:t>Conscientes de la necesidad de optimizar el proceso de matrículas de la universidad El Bosque, debido a continuos inconvenientes que se vienen presentando en el proceso de inscripción de materias por parte de los estudiantes, proponemos modificar el módulo de pre-matrícula que actualmente se está utilizando, esto con el fin de evitar traumatismos y optimizar el proceso de matrícula con el número de cupos previamente asignados por parte de las facultades en cada una de las materias correspondientes al pensum académico.</w:t>
            </w:r>
          </w:p>
          <w:p>
            <w:pPr>
              <w:pStyle w:val="Normal"/>
              <w:rPr>
                <w:rFonts w:ascii="Verdana" w:hAnsi="Verdana"/>
                <w:b/>
                <w:b/>
                <w:sz w:val="20"/>
                <w:szCs w:val="20"/>
                <w:lang w:val="es-ES"/>
              </w:rPr>
            </w:pPr>
            <w:r>
              <w:rPr>
                <w:rFonts w:ascii="Verdana" w:hAnsi="Verdana"/>
                <w:sz w:val="20"/>
                <w:szCs w:val="20"/>
                <w:lang w:val="es-ES"/>
              </w:rPr>
              <w:t>Por este motivo pretendemos implementar el módulo de pre-matrícula sugiriendo una reingeniería en el proceso de marras.</w:t>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Principales interesados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Estudiantes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Admisiones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Cartera</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Facultades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Registro y control</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Tecnología</w:t>
            </w:r>
          </w:p>
          <w:p>
            <w:pPr>
              <w:pStyle w:val="Normal"/>
              <w:rPr/>
            </w:pPr>
            <w:r>
              <w:rPr>
                <w:rFonts w:ascii="Verdana" w:hAnsi="Verdana"/>
                <w:b w:val="false"/>
                <w:bCs w:val="false"/>
                <w:sz w:val="20"/>
                <w:szCs w:val="20"/>
                <w:lang w:val="es-ES"/>
              </w:rPr>
              <w:t>Espacios físicos</w:t>
            </w:r>
          </w:p>
          <w:p>
            <w:pPr>
              <w:pStyle w:val="Normal"/>
              <w:rPr/>
            </w:pPr>
            <w:r>
              <w:rPr>
                <w:rFonts w:ascii="Verdana" w:hAnsi="Verdana"/>
                <w:b w:val="false"/>
                <w:bCs w:val="false"/>
                <w:sz w:val="20"/>
                <w:szCs w:val="20"/>
                <w:lang w:val="es-ES"/>
              </w:rPr>
              <w:t>Atención al usuario</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Requisitos generales y restricciones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Riesgos principales</w:t>
            </w:r>
          </w:p>
          <w:p>
            <w:pPr>
              <w:pStyle w:val="Normal"/>
              <w:numPr>
                <w:ilvl w:val="0"/>
                <w:numId w:val="1"/>
              </w:numPr>
              <w:rPr/>
            </w:pPr>
            <w:r>
              <w:rPr>
                <w:rFonts w:ascii="Verdana" w:hAnsi="Verdana"/>
                <w:sz w:val="20"/>
                <w:szCs w:val="20"/>
                <w:lang w:val="es-ES"/>
              </w:rPr>
              <w:t>Sobrepasar el presupuesto establecido</w:t>
            </w:r>
          </w:p>
          <w:p>
            <w:pPr>
              <w:pStyle w:val="Normal"/>
              <w:numPr>
                <w:ilvl w:val="0"/>
                <w:numId w:val="1"/>
              </w:numPr>
              <w:rPr>
                <w:rFonts w:ascii="Verdana" w:hAnsi="Verdana"/>
                <w:sz w:val="20"/>
                <w:szCs w:val="20"/>
                <w:lang w:val="es-ES"/>
              </w:rPr>
            </w:pPr>
            <w:r>
              <w:rPr>
                <w:rFonts w:ascii="Verdana" w:hAnsi="Verdana"/>
                <w:sz w:val="20"/>
                <w:szCs w:val="20"/>
                <w:lang w:val="es-ES"/>
              </w:rPr>
              <w:t>Cambiar el sistema de registro de finanzas</w:t>
            </w:r>
          </w:p>
          <w:p>
            <w:pPr>
              <w:pStyle w:val="Normal"/>
              <w:numPr>
                <w:ilvl w:val="0"/>
                <w:numId w:val="1"/>
              </w:numPr>
              <w:rPr/>
            </w:pPr>
            <w:r>
              <w:rPr>
                <w:rFonts w:ascii="Verdana" w:hAnsi="Verdana"/>
                <w:sz w:val="20"/>
                <w:szCs w:val="20"/>
                <w:lang w:val="es-ES"/>
              </w:rPr>
              <w:t>Caída del sistema de registro de finanzas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t>// Riesgos mas comunes en desarrollo</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Verdana" w:hAnsi="Verdana"/>
                <w:b/>
                <w:sz w:val="20"/>
                <w:szCs w:val="20"/>
                <w:lang w:val="es-ES"/>
              </w:rPr>
              <w:t xml:space="preserve">Cronograma de hitos principales </w:t>
            </w:r>
            <w:r>
              <w:rPr>
                <w:rFonts w:ascii="Verdana" w:hAnsi="Verdana"/>
                <w:sz w:val="20"/>
                <w:szCs w:val="20"/>
                <w:lang w:val="es-ES"/>
              </w:rPr>
              <w:t xml:space="preserve">(si existieran) </w:t>
            </w:r>
          </w:p>
          <w:p>
            <w:pPr>
              <w:pStyle w:val="Normal"/>
              <w:rPr>
                <w:rFonts w:ascii="Verdana" w:hAnsi="Verdana"/>
                <w:sz w:val="20"/>
                <w:szCs w:val="20"/>
                <w:lang w:val="es-ES"/>
              </w:rPr>
            </w:pPr>
            <w:r>
              <w:rPr>
                <w:rFonts w:ascii="Verdana" w:hAnsi="Verdana"/>
                <w:sz w:val="20"/>
                <w:szCs w:val="20"/>
                <w:lang w:val="es-ES"/>
              </w:rPr>
              <w:t>nota. Estos serían los entregables</w:t>
            </w:r>
          </w:p>
          <w:p>
            <w:pPr>
              <w:pStyle w:val="Normal"/>
              <w:numPr>
                <w:ilvl w:val="0"/>
                <w:numId w:val="2"/>
              </w:numPr>
              <w:rPr>
                <w:rFonts w:ascii="Verdana" w:hAnsi="Verdana"/>
                <w:sz w:val="20"/>
                <w:szCs w:val="20"/>
                <w:lang w:val="es-ES"/>
              </w:rPr>
            </w:pPr>
            <w:r>
              <w:rPr>
                <w:rFonts w:ascii="Verdana" w:hAnsi="Verdana"/>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Verdana" w:hAnsi="Verdana"/>
                <w:b/>
                <w:sz w:val="20"/>
                <w:szCs w:val="20"/>
                <w:lang w:val="es-ES"/>
              </w:rPr>
              <w:t xml:space="preserve">Presupuesto global preliminar </w:t>
            </w:r>
            <w:r>
              <w:rPr>
                <w:rFonts w:ascii="Verdana" w:hAnsi="Verdana"/>
                <w:sz w:val="20"/>
                <w:szCs w:val="20"/>
                <w:lang w:val="es-ES"/>
              </w:rPr>
              <w:t>(si existiera)</w:t>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Director del Proyecto</w:t>
            </w:r>
          </w:p>
          <w:p>
            <w:pPr>
              <w:pStyle w:val="Normal"/>
              <w:rPr>
                <w:rFonts w:ascii="Verdana" w:hAnsi="Verdana"/>
                <w:b/>
                <w:b/>
                <w:sz w:val="20"/>
                <w:szCs w:val="20"/>
                <w:lang w:val="es-ES"/>
              </w:rPr>
            </w:pPr>
            <w:r>
              <w:rPr>
                <w:rFonts w:ascii="Verdana" w:hAnsi="Verdana"/>
                <w:b/>
                <w:sz w:val="20"/>
                <w:szCs w:val="20"/>
                <w:lang w:val="es-ES"/>
              </w:rPr>
            </w:r>
          </w:p>
        </w:tc>
        <w:tc>
          <w:tcPr>
            <w:tcW w:w="6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Nivel de autoridad</w:t>
            </w:r>
          </w:p>
          <w:p>
            <w:pPr>
              <w:pStyle w:val="Normal"/>
              <w:rPr/>
            </w:pPr>
            <w:r>
              <w:rPr>
                <w:rFonts w:ascii="Verdana" w:hAnsi="Verdana"/>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Acceder a la información del cliente y negociar cambios</w:t>
            </w:r>
          </w:p>
          <w:p>
            <w:pPr>
              <w:pStyle w:val="Normal"/>
              <w:rPr/>
            </w:pPr>
            <w:r>
              <w:rPr>
                <w:rFonts w:ascii="Verdana" w:hAnsi="Verdana"/>
                <w:color w:val="FFFFFF"/>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Programar reuniones del proyecto con los gerentes funcionales</w:t>
            </w:r>
          </w:p>
          <w:p>
            <w:pPr>
              <w:pStyle w:val="Normal"/>
              <w:rPr/>
            </w:pPr>
            <w:r>
              <w:rPr>
                <w:rFonts w:ascii="Verdana" w:hAnsi="Verdana"/>
                <w:color w:val="FFFFFF"/>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Aprobar el presupuesto del proyecto y sus modificaciones</w:t>
            </w:r>
          </w:p>
          <w:p>
            <w:pPr>
              <w:pStyle w:val="Normal"/>
              <w:rPr/>
            </w:pPr>
            <w:r>
              <w:rPr>
                <w:rFonts w:ascii="Verdana" w:hAnsi="Verdana"/>
                <w:color w:val="FFFFFF"/>
                <w:sz w:val="18"/>
                <w:szCs w:val="18"/>
                <w:bdr w:val="single" w:sz="4" w:space="0" w:color="00000A"/>
                <w:lang w:val="es-ES"/>
              </w:rPr>
              <w:t xml:space="preserve">  </w:t>
            </w:r>
            <w:r>
              <w:rPr>
                <w:rFonts w:ascii="Verdana" w:hAnsi="Verdana"/>
                <w:sz w:val="18"/>
                <w:szCs w:val="18"/>
                <w:lang w:val="es-ES"/>
              </w:rPr>
              <w:t xml:space="preserve"> </w:t>
            </w:r>
            <w:r>
              <w:rPr>
                <w:rFonts w:ascii="Verdana" w:hAnsi="Verdana"/>
                <w:sz w:val="18"/>
                <w:szCs w:val="18"/>
                <w:lang w:val="es-ES"/>
              </w:rPr>
              <w:t xml:space="preserve">Negociar con los gerentes funcionales los miembros del equipo </w:t>
            </w:r>
            <w:r>
              <w:rPr>
                <w:rFonts w:ascii="Verdana" w:hAnsi="Verdana"/>
                <w:sz w:val="20"/>
                <w:szCs w:val="20"/>
                <w:lang w:val="es-ES"/>
              </w:rPr>
              <w:t xml:space="preserve">Otro: </w:t>
            </w:r>
          </w:p>
          <w:p>
            <w:pPr>
              <w:pStyle w:val="Normal"/>
              <w:rPr>
                <w:rFonts w:ascii="Verdana" w:hAnsi="Verdana"/>
                <w:sz w:val="20"/>
                <w:szCs w:val="20"/>
                <w:lang w:val="es-ES"/>
              </w:rPr>
            </w:pPr>
            <w:r>
              <w:rPr>
                <w:rFonts w:ascii="Verdana" w:hAnsi="Verdana"/>
                <w:sz w:val="20"/>
                <w:szCs w:val="20"/>
                <w:lang w:val="es-ES"/>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Patrocinador</w:t>
            </w:r>
          </w:p>
          <w:p>
            <w:pPr>
              <w:pStyle w:val="Normal"/>
              <w:rPr>
                <w:rFonts w:ascii="Verdana" w:hAnsi="Verdana"/>
                <w:b/>
                <w:b/>
                <w:sz w:val="20"/>
                <w:szCs w:val="20"/>
                <w:lang w:val="es-ES"/>
              </w:rPr>
            </w:pPr>
            <w:r>
              <w:rPr>
                <w:rFonts w:ascii="Verdana" w:hAnsi="Verdana"/>
                <w:b/>
                <w:sz w:val="20"/>
                <w:szCs w:val="20"/>
                <w:lang w:val="es-ES"/>
              </w:rPr>
            </w:r>
          </w:p>
        </w:tc>
        <w:tc>
          <w:tcPr>
            <w:tcW w:w="6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Firma del patrocinador</w:t>
            </w:r>
          </w:p>
        </w:tc>
      </w:tr>
    </w:tbl>
    <w:p>
      <w:pPr>
        <w:pStyle w:val="Normal"/>
        <w:jc w:val="center"/>
        <w:rPr/>
      </w:pPr>
      <w:r>
        <w:rPr/>
      </w:r>
    </w:p>
    <w:sectPr>
      <w:headerReference w:type="default" r:id="rId2"/>
      <w:footerReference w:type="default" r:id="rId3"/>
      <w:type w:val="nextPage"/>
      <w:pgSz w:w="11906" w:h="16838"/>
      <w:pgMar w:left="1440" w:right="1440" w:header="720" w:top="1276" w:footer="72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oudy">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Times Roman">
    <w:altName w:val="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Arial" w:hAnsi="Arial" w:cs="Arial"/>
        <w:sz w:val="16"/>
        <w:szCs w:val="16"/>
        <w:lang w:val="es-ES"/>
      </w:rPr>
    </w:pPr>
    <w:r>
      <w:rPr>
        <w:rFonts w:cs="Arial" w:ascii="Arial" w:hAnsi="Arial"/>
        <w:sz w:val="16"/>
        <w:szCs w:val="16"/>
        <w:lang w:val="es-ES"/>
      </w:rPr>
      <w:t>© Permitida su reproducción citando a su autor: Pablo Lledó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drawing>
        <wp:anchor behindDoc="1" distT="0" distB="9525" distL="114300" distR="118745" simplePos="0" locked="0" layoutInCell="1" allowOverlap="1" relativeHeight="3">
          <wp:simplePos x="0" y="0"/>
          <wp:positionH relativeFrom="margin">
            <wp:posOffset>4762500</wp:posOffset>
          </wp:positionH>
          <wp:positionV relativeFrom="margin">
            <wp:posOffset>-533400</wp:posOffset>
          </wp:positionV>
          <wp:extent cx="948055" cy="35242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948055" cy="3524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2"/>
  <w:defaultTabStop w:val="708"/>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AR" w:eastAsia="en-US" w:bidi="ar-SA"/>
    </w:rPr>
  </w:style>
  <w:style w:type="character" w:styleId="DefaultParagraphFont" w:default="1">
    <w:name w:val="Default Paragraph Font"/>
    <w:uiPriority w:val="1"/>
    <w:semiHidden/>
    <w:unhideWhenUsed/>
    <w:qFormat/>
    <w:rPr/>
  </w:style>
  <w:style w:type="character" w:styleId="Normal1" w:customStyle="1">
    <w:name w:val="Normal1"/>
    <w:qFormat/>
    <w:rPr>
      <w:rFonts w:ascii="Goudy" w:hAnsi="Goudy"/>
      <w:sz w:val="22"/>
    </w:rPr>
  </w:style>
  <w:style w:type="character" w:styleId="HeaderChar" w:customStyle="1">
    <w:name w:val="Header Char"/>
    <w:basedOn w:val="DefaultParagraphFont"/>
    <w:qFormat/>
    <w:rPr>
      <w:rFonts w:ascii="Times New Roman" w:hAnsi="Times New Roman" w:eastAsia="Times New Roman" w:cs="Times New Roman"/>
      <w:sz w:val="24"/>
      <w:szCs w:val="24"/>
      <w:lang w:val="es-AR"/>
    </w:rPr>
  </w:style>
  <w:style w:type="character" w:styleId="FooterChar" w:customStyle="1">
    <w:name w:val="Footer Char"/>
    <w:basedOn w:val="DefaultParagraphFont"/>
    <w:qFormat/>
    <w:rPr>
      <w:rFonts w:ascii="Times New Roman" w:hAnsi="Times New Roman" w:eastAsia="Times New Roman" w:cs="Times New Roman"/>
      <w:sz w:val="24"/>
      <w:szCs w:val="24"/>
      <w:lang w:val="es-AR"/>
    </w:rPr>
  </w:style>
  <w:style w:type="character" w:styleId="BalloonTextChar" w:customStyle="1">
    <w:name w:val="Balloon Text Char"/>
    <w:basedOn w:val="DefaultParagraphFont"/>
    <w:qFormat/>
    <w:rPr>
      <w:rFonts w:ascii="Tahoma" w:hAnsi="Tahoma" w:eastAsia="Times New Roman" w:cs="Tahoma"/>
      <w:sz w:val="16"/>
      <w:szCs w:val="16"/>
      <w:lang w:val="es-AR"/>
    </w:rPr>
  </w:style>
  <w:style w:type="character" w:styleId="Vietas" w:customStyle="1">
    <w:name w:val="Viñeta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Verdana" w:hAnsi="Verdana"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Verdana" w:hAnsi="Verdan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Verdana" w:hAnsi="Verdana" w:cs="OpenSymbol"/>
      <w:b w:val="false"/>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Verdana" w:hAnsi="Verdana" w:cs="OpenSymbol"/>
      <w:b w:val="false"/>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Verdana" w:hAnsi="Verdana"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Verdana" w:hAnsi="Verdana"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Verdana" w:hAnsi="Verdana" w:cs="OpenSymbol"/>
      <w:b w:val="false"/>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Verdana" w:hAnsi="Verdana"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Cabecera">
    <w:name w:val="Header"/>
    <w:basedOn w:val="Normal"/>
    <w:pPr>
      <w:tabs>
        <w:tab w:val="center" w:pos="4513" w:leader="none"/>
        <w:tab w:val="right" w:pos="9026" w:leader="none"/>
      </w:tabs>
    </w:pPr>
    <w:rPr/>
  </w:style>
  <w:style w:type="paragraph" w:styleId="Piedepgina">
    <w:name w:val="Foot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elltext" w:customStyle="1">
    <w:name w:val="cell_text"/>
    <w:basedOn w:val="Normal"/>
    <w:qFormat/>
    <w:pPr>
      <w:spacing w:before="60" w:after="60"/>
      <w:ind w:left="43" w:right="43" w:hanging="0"/>
    </w:pPr>
    <w:rPr>
      <w:rFonts w:ascii="Times Roman" w:hAnsi="Times Roman"/>
      <w:sz w:val="20"/>
      <w:szCs w:val="20"/>
      <w:lang w:val="en-US"/>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LibreOffice/6.0.3.2$Linux_X86_64 LibreOffice_project/00m0$Build-2</Application>
  <Pages>2</Pages>
  <Words>636</Words>
  <Characters>3509</Characters>
  <CharactersWithSpaces>4094</CharactersWithSpaces>
  <Paragraphs>50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2018-08-21T03:58:00Z</dcterms:created>
  <dc:creator>Pablo</dc:creator>
  <dc:description/>
  <dc:language>es-CO</dc:language>
  <cp:lastModifiedBy/>
  <dcterms:modified xsi:type="dcterms:W3CDTF">2018-08-28T19:07:25Z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