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INTEGRATIVE TASK 1</w:t>
        <w:br w:type="textWrapping"/>
      </w:r>
    </w:p>
    <w:p w:rsidR="00000000" w:rsidDel="00000000" w:rsidP="00000000" w:rsidRDefault="00000000" w:rsidRPr="00000000" w14:paraId="00000002">
      <w:pPr>
        <w:spacing w:after="240"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921544" cy="2764155"/>
            <wp:effectExtent b="0" l="0" r="0" t="0"/>
            <wp:docPr descr="Banner - Universidad Icesi - Cali, Colombia - Inicio" id="1" name="image1.jpg"/>
            <a:graphic>
              <a:graphicData uri="http://schemas.openxmlformats.org/drawingml/2006/picture">
                <pic:pic>
                  <pic:nvPicPr>
                    <pic:cNvPr descr="Banner - Universidad Icesi - Cali, Colombia - Inici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544" cy="276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DAVIDE FLAMINI CAZARAN - A00381665 - SYSTEMS ENGINEERING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NICOLÁS CUÉLLAR MOLINA - A00394970 - SYSTEMS ENGINEERING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ANDRES CABEZAS - A00394772 - SYSTEMS ENGINEER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ICESI UNIVERSITY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FACULTY OF ENGINEERING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COMPUTING AND DISCRETE STRUCTURES 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