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09qdowz4n8n" w:id="0"/>
      <w:bookmarkEnd w:id="0"/>
      <w:r>
        <w:rPr>
          <w:rtl w:val="0"/>
        </w:rPr>
        <w:t xml:space="preserve">Segundo Midterm: Decisiones Arquitectónicas y Documentación</w:t>
      </w:r>
    </w:p>
    <w:p w:rsidR="00000000" w:rsidDel="00000000" w:rsidP="00000000" w:rsidRDefault="00000000" w:rsidRPr="00000000" w14:paraId="00000002">
      <w:pPr>
        <w:rPr/>
      </w:pPr>
      <w:r>
        <w:rPr>
          <w:b w:val="1"/>
          <w:bCs w:val="1"/>
          <w:rtl w:val="0"/>
        </w:rPr>
        <w:t xml:space="preserve">Curso:</w:t>
      </w:r>
      <w:r>
        <w:rPr>
          <w:rtl w:val="0"/>
        </w:rPr>
        <w:t xml:space="preserve"> Big Data e Ingeniería de Datos</w:t>
        <w:br w:type="textWrapping"/>
      </w:r>
      <w:r>
        <w:rPr>
          <w:b w:val="1"/>
          <w:bCs w:val="1"/>
          <w:rtl w:val="0"/>
        </w:rPr>
        <w:t xml:space="preserve">Sistema:</w:t>
      </w:r>
      <w:r>
        <w:rPr>
          <w:rtl w:val="0"/>
        </w:rPr>
        <w:t xml:space="preserve"> Sistema de Reservas de Aerolínea: Panel de Analítica Gerencial</w:t>
        <w:br w:type="textWrapping"/>
      </w:r>
      <w:r>
        <w:rPr>
          <w:b w:val="1"/>
          <w:bCs w:val="1"/>
          <w:rtl w:val="0"/>
        </w:rPr>
        <w:t xml:space="preserve">Equipo:</w:t>
      </w:r>
      <w:r>
        <w:rPr>
          <w:rtl w:val="0"/>
        </w:rPr>
        <w:t xml:space="preserve"> Kevin Nicolai García Rodríguez y Andrés Castro Gonzáles</w:t>
      </w:r>
      <w:r>
        <w:rPr>
          <w:rtl w:val="0"/>
        </w:rPr>
        <w:br w:type="textWrapping"/>
      </w:r>
      <w:r>
        <w:rPr>
          <w:b w:val="1"/>
          <w:bCs w:val="1"/>
          <w:rtl w:val="0"/>
        </w:rPr>
        <w:t xml:space="preserve">Semilla asignada:</w:t>
      </w:r>
      <w:r>
        <w:rPr>
          <w:rtl w:val="0"/>
        </w:rPr>
        <w:t xml:space="preserve"> 3604</w:t>
      </w:r>
      <w:r>
        <w:rPr>
          <w:rtl w:val="0"/>
        </w:rPr>
        <w:br w:type="textWrapping"/>
      </w:r>
      <w:r>
        <w:rPr>
          <w:b w:val="1"/>
          <w:bCs w:val="1"/>
          <w:rtl w:val="0"/>
        </w:rPr>
        <w:t xml:space="preserve">Cuenta AWS:</w:t>
      </w:r>
      <w:r>
        <w:rPr>
          <w:rtl w:val="0"/>
        </w:rPr>
        <w:t xml:space="preserve"> 723400800674 (us-east-1)</w:t>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pict>
          <v:rect style="width:0.0pt;height:1.5pt" o:hr="t" o:hrstd="t" o:hralign="center" fillcolor="#A0A0A0" stroked="f"/>
        </w:pict>
      </w:r>
      <w:r>
        <w:rPr>
          <w:rtl w:val="0"/>
        </w:rPr>
      </w:r>
    </w:p>
    <w:p w:rsidR="00000000" w:rsidDel="00000000" w:rsidP="00000000" w:rsidRDefault="00000000" w:rsidRPr="00000000" w14:paraId="00000005">
      <w:pPr>
        <w:pStyle w:val="Heading2"/>
        <w:rPr/>
      </w:pPr>
      <w:bookmarkStart w:colFirst="0" w:colLast="0" w:name="_hy8zkvft6ltj" w:id="1"/>
      <w:bookmarkEnd w:id="1"/>
      <w:r>
        <w:rPr>
          <w:rtl w:val="0"/>
        </w:rPr>
        <w:t xml:space="preserve">5. Decisiones Arquitectónicas y Justificaciones</w:t>
      </w:r>
    </w:p>
    <w:p w:rsidR="00000000" w:rsidDel="00000000" w:rsidP="00000000" w:rsidRDefault="00000000" w:rsidRPr="00000000" w14:paraId="00000006">
      <w:pPr>
        <w:rPr/>
      </w:pPr>
      <w:r>
        <w:rPr/>
        <w:drawing>
          <wp:inline distB="114300" distT="114300" distL="114300" distR="114300">
            <wp:extent cx="5943600" cy="2311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11400"/>
                    </a:xfrm>
                    <a:prstGeom prst="rect"/>
                    <a:ln/>
                  </pic:spPr>
                </pic:pic>
              </a:graphicData>
            </a:graphic>
          </wp:inline>
        </w:drawing>
      </w:r>
      <w:r>
        <w:rPr>
          <w:rtl w:val="0"/>
        </w:rPr>
      </w:r>
    </w:p>
    <w:p w:rsidR="00000000" w:rsidDel="00000000" w:rsidP="00000000" w:rsidRDefault="00000000" w:rsidRPr="00000000" w14:paraId="00000007">
      <w:pPr>
        <w:pStyle w:val="Heading3"/>
        <w:rPr/>
      </w:pPr>
      <w:bookmarkStart w:colFirst="0" w:colLast="0" w:name="_gvi3y5peiw6t" w:id="2"/>
      <w:bookmarkEnd w:id="2"/>
      <w:r>
        <w:rPr>
          <w:rtl w:val="0"/>
        </w:rPr>
        <w:t xml:space="preserve">5.1 Modelo de Hosting y Almacenamiento Transaccional</w:t>
      </w:r>
    </w:p>
    <w:p w:rsidR="00000000" w:rsidDel="00000000" w:rsidP="00000000" w:rsidRDefault="00000000" w:rsidRPr="00000000" w14:paraId="00000008">
      <w:pPr>
        <w:numPr>
          <w:ilvl w:val="0"/>
          <w:numId w:val="1"/>
        </w:numPr>
        <w:ind w:left="720" w:hanging="360"/>
      </w:pPr>
      <w:r>
        <w:rPr>
          <w:b w:val="1"/>
          <w:bCs w:val="1"/>
          <w:rtl w:val="0"/>
        </w:rPr>
        <w:t xml:space="preserve">Decisión:</w:t>
      </w:r>
      <w:r>
        <w:rPr>
          <w:rtl w:val="0"/>
        </w:rPr>
        <w:t xml:space="preserve"> Alojamientos del backend en FastAPI, frontend estático y base de datos transaccional en una instancia de Amazon EC2 (</w:t>
      </w:r>
      <w:r>
        <w:rPr>
          <w:rFonts w:ascii="Roboto Mono" w:cs="Roboto Mono" w:eastAsia="Roboto Mono" w:hAnsi="Roboto Mono"/>
          <w:color w:val="188038"/>
          <w:rtl w:val="0"/>
        </w:rPr>
        <w:t xml:space="preserve">t3.small</w:t>
      </w:r>
      <w:r>
        <w:rPr>
          <w:rtl w:val="0"/>
        </w:rPr>
        <w:t xml:space="preserve">) combinada con Amazon RDS PostgreSQL (</w:t>
      </w:r>
      <w:r>
        <w:rPr>
          <w:rFonts w:ascii="Roboto Mono" w:cs="Roboto Mono" w:eastAsia="Roboto Mono" w:hAnsi="Roboto Mono"/>
          <w:color w:val="188038"/>
          <w:rtl w:val="0"/>
        </w:rPr>
        <w:t xml:space="preserve">db.t3.micro</w:t>
      </w:r>
      <w:r>
        <w:rPr>
          <w:rtl w:val="0"/>
        </w:rPr>
        <w:t xml:space="preserve">, Single-AZ).</w:t>
      </w:r>
    </w:p>
    <w:p w:rsidR="00000000" w:rsidDel="00000000" w:rsidP="00000000" w:rsidRDefault="00000000" w:rsidRPr="00000000" w14:paraId="00000009">
      <w:pPr>
        <w:numPr>
          <w:ilvl w:val="0"/>
          <w:numId w:val="1"/>
        </w:numPr>
        <w:ind w:left="720" w:hanging="360"/>
      </w:pPr>
      <w:r>
        <w:rPr>
          <w:b w:val="1"/>
          <w:bCs w:val="1"/>
          <w:rtl w:val="0"/>
        </w:rPr>
        <w:t xml:space="preserve">Justificación (R1, R2, R11 | Confiabilidad, Optimización de Costos, Eficiencia de Rendimiento):</w:t>
      </w:r>
      <w:r>
        <w:rPr>
          <w:rtl w:val="0"/>
        </w:rPr>
        <w:t xml:space="preserve"> Para cumplir con los requisitos R1 (latencia de búsqueda ≤ 1,0 s) y R2 (concurrencia transaccional estricta y cero sobreventa) dentro del ajustado presupuesto de US$50 del Learner Lab, una arquitectura basada en contenedores gestionados o funciones serverless introducía latencia innecesaria por </w:t>
      </w:r>
      <w:r>
        <w:rPr>
          <w:i w:val="1"/>
          <w:iCs w:val="1"/>
          <w:rtl w:val="0"/>
        </w:rPr>
        <w:t xml:space="preserve">cold-start</w:t>
      </w:r>
      <w:r>
        <w:rPr>
          <w:rtl w:val="0"/>
        </w:rPr>
        <w:t xml:space="preserve"> y sobrecostos. Una instancia EC2 </w:t>
      </w:r>
      <w:r>
        <w:rPr>
          <w:rFonts w:ascii="Roboto Mono" w:cs="Roboto Mono" w:eastAsia="Roboto Mono" w:hAnsi="Roboto Mono"/>
          <w:color w:val="188038"/>
          <w:rtl w:val="0"/>
        </w:rPr>
        <w:t xml:space="preserve">t3.small</w:t>
      </w:r>
      <w:r>
        <w:rPr>
          <w:rtl w:val="0"/>
        </w:rPr>
        <w:t xml:space="preserve"> proporciona rendimiento de CPU estable para manejar solicitudes HTTP concurrentes y servir archivos estáticos directamente mediante FastAPI, mientras que RDS PostgreSQL (</w:t>
      </w:r>
      <w:r>
        <w:rPr>
          <w:rFonts w:ascii="Roboto Mono" w:cs="Roboto Mono" w:eastAsia="Roboto Mono" w:hAnsi="Roboto Mono"/>
          <w:color w:val="188038"/>
          <w:rtl w:val="0"/>
        </w:rPr>
        <w:t xml:space="preserve">db.t3.micro</w:t>
      </w:r>
      <w:r>
        <w:rPr>
          <w:rtl w:val="0"/>
        </w:rPr>
        <w:t xml:space="preserve">, Single-AZ) garantiza cumplimiento ACID, bloqueo a nivel de fila para control de concurrencia durante la reserva de asientos, y cero cargos por Multi-AZ o NAT Gateway en cumplimiento con R11. La medición del harness sobre el sistema desplegado confirma la decisión: p50 de 0,179 s y p95 de 0,260 s en la búsqueda con 20 clientes concurrentes, muy por debajo del límite de 1,0 s de R1; y cero sobreventas en diez rondas de 50 peticiones simultáneas liberadas por barrera, sin una sola respuesta 5xx. El control de concurrencia es un único UPDATE condicional (SET seats_available = seats_available - 1 WHERE flight_id = %s AND seats_available &gt; 0), cuyo bloqueo de fila serializa a los competidores, más una restricción CHECK (seats_available &gt;= 0) como última línea de defensa en el esquema.</w:t>
      </w:r>
    </w:p>
    <w:p w:rsidR="00000000" w:rsidDel="00000000" w:rsidP="00000000" w:rsidRDefault="00000000" w:rsidRPr="00000000" w14:paraId="0000000A">
      <w:pPr>
        <w:pStyle w:val="Heading3"/>
        <w:rPr/>
      </w:pPr>
      <w:bookmarkStart w:colFirst="0" w:colLast="0" w:name="_qm9txdhpskl7" w:id="3"/>
      <w:bookmarkEnd w:id="3"/>
      <w:r>
        <w:rPr>
          <w:rtl w:val="0"/>
        </w:rPr>
        <w:t xml:space="preserve">5.2 ¿Por qué EMR aquí y la estrategia de procesamiento Batch?</w:t>
      </w:r>
    </w:p>
    <w:p w:rsidR="00000000" w:rsidDel="00000000" w:rsidP="00000000" w:rsidRDefault="00000000" w:rsidRPr="00000000" w14:paraId="0000000B">
      <w:pPr>
        <w:numPr>
          <w:ilvl w:val="0"/>
          <w:numId w:val="1"/>
        </w:numPr>
        <w:ind w:left="720" w:hanging="360"/>
      </w:pPr>
      <w:r>
        <w:rPr>
          <w:b w:val="1"/>
          <w:bCs w:val="1"/>
          <w:rtl w:val="0"/>
        </w:rPr>
        <w:t xml:space="preserve">Decisión:</w:t>
      </w:r>
      <w:r>
        <w:rPr>
          <w:rtl w:val="0"/>
        </w:rPr>
        <w:t xml:space="preserve"> Implementamos un clúster de Amazon EMR lanzado de forma transitoria (3 x </w:t>
      </w:r>
      <w:r>
        <w:rPr>
          <w:rFonts w:ascii="Roboto Mono" w:cs="Roboto Mono" w:eastAsia="Roboto Mono" w:hAnsi="Roboto Mono"/>
          <w:color w:val="188038"/>
          <w:rtl w:val="0"/>
        </w:rPr>
        <w:t xml:space="preserve">m4.large</w:t>
      </w:r>
      <w:r>
        <w:rPr>
          <w:rtl w:val="0"/>
        </w:rPr>
        <w:t xml:space="preserve">, con auto-terminación mediante </w:t>
      </w:r>
      <w:r>
        <w:rPr>
          <w:rFonts w:ascii="Roboto Mono" w:cs="Roboto Mono" w:eastAsia="Roboto Mono" w:hAnsi="Roboto Mono"/>
          <w:color w:val="188038"/>
          <w:rtl w:val="0"/>
        </w:rPr>
        <w:t xml:space="preserve">KeepJobFlowAliveWhenNoSteps=False</w:t>
      </w:r>
      <w:r>
        <w:rPr>
          <w:rtl w:val="0"/>
        </w:rPr>
        <w:t xml:space="preserve">) que ejecuta un script PySpark para limpiar datos crudos de reservas y vuelos (C1–C5) y escribir archivos Parquet particionados por mes en Amazon S3.</w:t>
      </w:r>
    </w:p>
    <w:p w:rsidR="00000000" w:rsidDel="00000000" w:rsidP="00000000" w:rsidRDefault="00000000" w:rsidRPr="00000000" w14:paraId="0000000C">
      <w:pPr>
        <w:numPr>
          <w:ilvl w:val="0"/>
          <w:numId w:val="1"/>
        </w:numPr>
        <w:ind w:left="720" w:hanging="360"/>
      </w:pPr>
      <w:r>
        <w:rPr>
          <w:b w:val="1"/>
          <w:bCs w:val="1"/>
          <w:rtl w:val="0"/>
        </w:rPr>
        <w:t xml:space="preserve">Justificación (R4, R10, R11 | Optimización de Costos, Excelencia Operacional):</w:t>
      </w:r>
      <w:r>
        <w:rPr>
          <w:rtl w:val="0"/>
        </w:rPr>
        <w:t xml:space="preserve"> El job no es una consulta: es una tubería de varias etapas sobre un mismo recorrido de los datos. Lee los 106 MB de CSV crudo, normaliza route y status (C1, C2), descarta estados e importes inválidos (C3, C4), deduplica reservation_id conservando la primera ocurrencia (C5), une reservas con vuelos para derivar el mes de cada reserva, y de ahí escribe dos salidas de granularidad distinta: el detalle reservations_curated particionado por mes y el agregado route_month_metrics, cuyo denominador (seats_capacity) no sale de las reservas sino de la suma de capacidad de los vuelos de esa ruta en ese mes. Resolverlo con Athena CTAS exigiría una cadena de consultas secuenciales, cada una volviendo a escanear el texto plano —sin compresión ni orientación a columnas, pagando los 5 USD por TB sobre el peor formato posible— y aun así Athena no permite decidir cuántos archivos se escriben por partición. Ese control importa aquí: sin un repartition("month") explícito antes de escribir, el shuffle por defecto de Spark (200 particiones) habría generado del orden de 4.800 archivos Parquet minúsculos repartidos entre los 24 meses. Con el repartition quedó exactamente un archivo por mes (24 archivos, 19,6 MB), y la consulta de un solo mes escanea 305 KB en lugar de abrir miles de objetos. PySpark además preserva el orden de aplicación de las reglas, que no es indiferente: C5 se aplica después de C3 y C4, igual que el oráculo del profesor (airline_data/oracle.py). El resultado se validó contra ese oráculo: 2.006.136 filas curadas exactas y los tres revenues mensuales de control idénticos al dígito. Las alternativas como streaming continuo o clústeres EMR persistentes se descartaron debido a sus elevados costos operativos. Al configurar la auto-terminación al finalizar el paso, garantizamos el cumplimiento de R10 (uso acotado de EMR por debajo de 150 horas de instancia normalizadas y cero recursos activos dejados en ejecución) y R11 (uso exclusivo de instancias permitidas </w:t>
      </w:r>
      <w:r>
        <w:rPr>
          <w:rFonts w:ascii="Roboto Mono" w:cs="Roboto Mono" w:eastAsia="Roboto Mono" w:hAnsi="Roboto Mono"/>
          <w:color w:val="188038"/>
          <w:rtl w:val="0"/>
        </w:rPr>
        <w:t xml:space="preserve">m4.large</w:t>
      </w:r>
      <w:r>
        <w:rPr>
          <w:rtl w:val="0"/>
        </w:rPr>
        <w:t xml:space="preserve">).</w:t>
      </w:r>
    </w:p>
    <w:p w:rsidR="00000000" w:rsidDel="00000000" w:rsidP="00000000" w:rsidRDefault="00000000" w:rsidRPr="00000000" w14:paraId="0000000D">
      <w:pPr>
        <w:pStyle w:val="Heading3"/>
        <w:rPr/>
      </w:pPr>
      <w:bookmarkStart w:colFirst="0" w:colLast="0" w:name="_quica4z8ee34" w:id="4"/>
      <w:bookmarkEnd w:id="4"/>
      <w:r>
        <w:rPr>
          <w:rtl w:val="0"/>
        </w:rPr>
        <w:t xml:space="preserve">5.3 Diseño de Datos, Formato y Estrategia de Particionamiento</w:t>
      </w:r>
    </w:p>
    <w:p w:rsidR="00000000" w:rsidDel="00000000" w:rsidP="00000000" w:rsidRDefault="00000000" w:rsidRPr="00000000" w14:paraId="0000000E">
      <w:pPr>
        <w:numPr>
          <w:ilvl w:val="0"/>
          <w:numId w:val="1"/>
        </w:numPr>
        <w:ind w:left="720" w:hanging="360"/>
      </w:pPr>
      <w:r>
        <w:rPr>
          <w:b w:val="1"/>
          <w:bCs w:val="1"/>
          <w:rtl w:val="0"/>
        </w:rPr>
        <w:t xml:space="preserve">Decisión:</w:t>
      </w:r>
      <w:r>
        <w:rPr>
          <w:rtl w:val="0"/>
        </w:rPr>
        <w:t xml:space="preserve"> Los datos de reservas curados se almacenan en formato Apache Parquet en Amazon S3, particionados explícitamente por </w:t>
      </w:r>
      <w:r>
        <w:rPr>
          <w:rFonts w:ascii="Roboto Mono" w:cs="Roboto Mono" w:eastAsia="Roboto Mono" w:hAnsi="Roboto Mono"/>
          <w:color w:val="188038"/>
          <w:rtl w:val="0"/>
        </w:rPr>
        <w:t xml:space="preserve">month</w:t>
      </w:r>
      <w:r>
        <w:rPr>
          <w:rtl w:val="0"/>
        </w:rPr>
        <w:t xml:space="preserve"> (</w:t>
      </w:r>
      <w:r>
        <w:rPr>
          <w:rFonts w:ascii="Roboto Mono" w:cs="Roboto Mono" w:eastAsia="Roboto Mono" w:hAnsi="Roboto Mono"/>
          <w:color w:val="188038"/>
          <w:rtl w:val="0"/>
        </w:rPr>
        <w:t xml:space="preserve">YYYY-MM</w:t>
      </w:r>
      <w:r>
        <w:rPr>
          <w:rtl w:val="0"/>
        </w:rPr>
        <w:t xml:space="preserve">), con metadatos registrados en el Catálogo de Datos de AWS Glue (</w:t>
      </w:r>
      <w:r>
        <w:rPr>
          <w:rFonts w:ascii="Roboto Mono" w:cs="Roboto Mono" w:eastAsia="Roboto Mono" w:hAnsi="Roboto Mono"/>
          <w:color w:val="188038"/>
          <w:rtl w:val="0"/>
        </w:rPr>
        <w:t xml:space="preserve">reservations_curated</w:t>
      </w:r>
      <w:r>
        <w:rPr>
          <w:rtl w:val="0"/>
        </w:rPr>
        <w:t xml:space="preserve"> y </w:t>
      </w:r>
      <w:r>
        <w:rPr>
          <w:rFonts w:ascii="Roboto Mono" w:cs="Roboto Mono" w:eastAsia="Roboto Mono" w:hAnsi="Roboto Mono"/>
          <w:color w:val="188038"/>
          <w:rtl w:val="0"/>
        </w:rPr>
        <w:t xml:space="preserve">route_month_metrics</w:t>
      </w:r>
      <w:r>
        <w:rPr>
          <w:rtl w:val="0"/>
        </w:rPr>
        <w:t xml:space="preserve">).</w:t>
      </w:r>
    </w:p>
    <w:p w:rsidR="00000000" w:rsidDel="00000000" w:rsidP="00000000" w:rsidRDefault="00000000" w:rsidRPr="00000000" w14:paraId="0000000F">
      <w:pPr>
        <w:numPr>
          <w:ilvl w:val="0"/>
          <w:numId w:val="1"/>
        </w:numPr>
        <w:ind w:left="720" w:hanging="360"/>
      </w:pPr>
      <w:r>
        <w:rPr>
          <w:b w:val="1"/>
          <w:bCs w:val="1"/>
          <w:rtl w:val="0"/>
        </w:rPr>
        <w:t xml:space="preserve">Justificación (R5, R6 | Eficiencia de Rendimiento, Optimización de Costos):</w:t>
      </w:r>
      <w:r>
        <w:rPr>
          <w:rtl w:val="0"/>
        </w:rPr>
        <w:t xml:space="preserve"> Parquet ofrece almacenamiento columnar con compresión y codificación integradas, reduciendo drásticamente la huella de almacenamiento y la sobrecarga de E/S. El particionamiento por mes se alinea directamente con los patrones de consulta gerenciales (por ejemplo, analizar el rendimiento de una ruta para un mes dado). Sin el particionamiento mensual, Athena realizaría escaneos completos de tabla en los 2 millones de filas para cada consulta, violando la restricción R6 de que las consultas de un solo mes escaneen como máximo 2 veces el tamaño promedio de partición.</w:t>
      </w:r>
    </w:p>
    <w:p w:rsidR="00000000" w:rsidDel="00000000" w:rsidP="00000000" w:rsidRDefault="00000000" w:rsidRPr="00000000" w14:paraId="00000010">
      <w:pPr>
        <w:pStyle w:val="Heading3"/>
        <w:rPr/>
      </w:pPr>
      <w:bookmarkStart w:colFirst="0" w:colLast="0" w:name="_73ycr61uz0vm" w:id="5"/>
      <w:bookmarkEnd w:id="5"/>
      <w:r>
        <w:rPr>
          <w:rtl w:val="0"/>
        </w:rPr>
        <w:t xml:space="preserve">5.4 Capa de Consultas Analíticas e Integración del Panel Gerencial</w:t>
      </w:r>
    </w:p>
    <w:p w:rsidR="00000000" w:rsidDel="00000000" w:rsidP="00000000" w:rsidRDefault="00000000" w:rsidRPr="00000000" w14:paraId="00000011">
      <w:pPr>
        <w:numPr>
          <w:ilvl w:val="0"/>
          <w:numId w:val="1"/>
        </w:numPr>
        <w:ind w:left="720" w:hanging="360"/>
      </w:pPr>
      <w:r>
        <w:rPr>
          <w:b w:val="1"/>
          <w:bCs w:val="1"/>
          <w:rtl w:val="0"/>
        </w:rPr>
        <w:t xml:space="preserve">Decisión:</w:t>
      </w:r>
      <w:r>
        <w:rPr>
          <w:rtl w:val="0"/>
        </w:rPr>
        <w:t xml:space="preserve"> El endpoint del backend </w:t>
      </w:r>
      <w:r>
        <w:rPr>
          <w:rFonts w:ascii="Roboto Mono" w:cs="Roboto Mono" w:eastAsia="Roboto Mono" w:hAnsi="Roboto Mono"/>
          <w:color w:val="188038"/>
          <w:rtl w:val="0"/>
        </w:rPr>
        <w:t xml:space="preserve">/analytics/occupancy</w:t>
      </w:r>
      <w:r>
        <w:rPr>
          <w:rtl w:val="0"/>
        </w:rPr>
        <w:t xml:space="preserve"> consulta Amazon Athena dinámicamente bajo demanda, respaldado por las tablas Parquet curadas y el Catálogo de Datos de AWS Glue.</w:t>
      </w:r>
    </w:p>
    <w:p w:rsidR="00000000" w:rsidDel="00000000" w:rsidP="00000000" w:rsidRDefault="00000000" w:rsidRPr="00000000" w14:paraId="00000012">
      <w:pPr>
        <w:numPr>
          <w:ilvl w:val="0"/>
          <w:numId w:val="1"/>
        </w:numPr>
        <w:ind w:left="720" w:hanging="360"/>
      </w:pPr>
      <w:r>
        <w:rPr>
          <w:b w:val="1"/>
          <w:bCs w:val="1"/>
          <w:rtl w:val="0"/>
        </w:rPr>
        <w:t xml:space="preserve">Justificación (R7, R8, R9 | Confiabilidad, Optimización de Costos):</w:t>
      </w:r>
      <w:r>
        <w:rPr>
          <w:rtl w:val="0"/>
        </w:rPr>
        <w:t xml:space="preserve"> Consultar Athena directamente desde el endpoint asegura que la analítica gerencial siempre refleje el estado más actualizado procesado por lotes sin requerir capas complejas de sincronización de bases de datos o servidores de caché persistentes (que añadiría infraestructura facturable). Conviene precisar un punto que se presta a confusión: una caché no entra en conflicto con R11. La caché que correspondería aquí es un diccionario en memoria del propio proceso FastAPI con un TTL del orden de horas —los datos sólo cambian cuando corre el batch mensual, así que la frescura no es un problema—, y al vivir dentro de la EC2 que ya existe no añade ningún servicio facturable: R11 cuenta servicios, no componentes. Lo que sí sería un error es resolverlo con ElastiCache, que añadiría un servicio y un costo fijo sin ganar nada sobre un diccionario, teniendo en cuenta que la cuenta ya consume 7 de los 8 servicios permitidos. No la implementamos por una razón distinta: con un tiempo medido de 1,3 a 1,9 s por consulta contra un SLA de 10 s en R7, la caché no compra nada en este alcance. Sería la primera optimización a introducir si el panel pasara de unos pocos gerentes a consultas masivas, y R7 la permite siempre que la primera petición de cada par (ruta, mes) consulte Athena.</w:t>
      </w:r>
    </w:p>
    <w:p w:rsidR="00000000" w:rsidDel="00000000" w:rsidP="00000000" w:rsidRDefault="00000000" w:rsidRPr="00000000" w14:paraId="00000013">
      <w:pPr>
        <w:pStyle w:val="Heading3"/>
        <w:rPr/>
      </w:pPr>
      <w:bookmarkStart w:colFirst="0" w:colLast="0" w:name="_c8cwnx3t658g" w:id="6"/>
      <w:bookmarkEnd w:id="6"/>
      <w:r>
        <w:rPr>
          <w:rtl w:val="0"/>
        </w:rPr>
        <w:t xml:space="preserve">5.5 Separación de Cargas de Trabajo</w:t>
      </w:r>
    </w:p>
    <w:p w:rsidR="00000000" w:rsidDel="00000000" w:rsidP="00000000" w:rsidRDefault="00000000" w:rsidRPr="00000000" w14:paraId="00000014">
      <w:pPr>
        <w:numPr>
          <w:ilvl w:val="0"/>
          <w:numId w:val="1"/>
        </w:numPr>
        <w:ind w:left="720" w:hanging="360"/>
      </w:pPr>
      <w:r>
        <w:rPr>
          <w:b w:val="1"/>
          <w:bCs w:val="1"/>
          <w:rtl w:val="0"/>
        </w:rPr>
        <w:t xml:space="preserve">Decisión:</w:t>
      </w:r>
      <w:r>
        <w:rPr>
          <w:rtl w:val="0"/>
        </w:rPr>
        <w:t xml:space="preserve"> Aislamiento lógico y físico completo entre la ruta transaccional (EC2 + RDS PostgreSQL) y la ruta analítica de lotes y consultas (S3 + EMR + Glue + Athena).</w:t>
      </w:r>
    </w:p>
    <w:p w:rsidR="00000000" w:rsidDel="00000000" w:rsidP="00000000" w:rsidRDefault="00000000" w:rsidRPr="00000000" w14:paraId="00000015">
      <w:pPr>
        <w:numPr>
          <w:ilvl w:val="0"/>
          <w:numId w:val="1"/>
        </w:numPr>
        <w:ind w:left="720" w:hanging="360"/>
      </w:pPr>
      <w:r>
        <w:rPr>
          <w:b w:val="1"/>
          <w:bCs w:val="1"/>
          <w:rtl w:val="0"/>
        </w:rPr>
        <w:t xml:space="preserve">Justificación (R1, R2 | Confiabilidad, Eficiencia de Rendimiento):</w:t>
      </w:r>
      <w:r>
        <w:rPr>
          <w:rtl w:val="0"/>
        </w:rPr>
        <w:t xml:space="preserve"> Para satisfacer los requisitos R1 y R2, las agregaciones analíticas pesadas, escaneos históricos y transformaciones PySpark se ejecutan enteramente dentro de la capa de almacenamiento de objetos y analítica de big data (S3, EMR, Athena). Esto garantiza que las consultas gerenciales pesadas nunca bloqueen las tablas transaccionales ni consuman ciclos de CPU de la base de datos, asegurando que las operaciones de búsqueda y reserva de los clientes se mantengan rápidas y sin afectaciones.</w:t>
      </w:r>
    </w:p>
    <w:p w:rsidR="00000000" w:rsidDel="00000000" w:rsidP="00000000" w:rsidRDefault="00000000" w:rsidRPr="00000000" w14:paraId="00000016">
      <w:pPr>
        <w:rPr/>
      </w:pPr>
      <w:r>
        <w:rPr>
          <w:rtl w:val="0"/>
        </w:rPr>
      </w:r>
    </w:p>
    <w:p w:rsidR="00000000" w:rsidDel="00000000" w:rsidP="00000000" w:rsidRDefault="00000000" w:rsidRPr="00000000" w14:paraId="00000017">
      <w:pPr>
        <w:rPr/>
      </w:pPr>
      <w:r>
        <w:pict>
          <v:rect style="width:0.0pt;height:1.5pt" o:hr="t" o:hrstd="t" o:hralign="center" fillcolor="#A0A0A0" stroked="f"/>
        </w:pict>
      </w:r>
      <w:r>
        <w:rPr>
          <w:rtl w:val="0"/>
        </w:rPr>
      </w:r>
    </w:p>
    <w:p w:rsidR="00000000" w:rsidDel="00000000" w:rsidP="00000000" w:rsidRDefault="00000000" w:rsidRPr="00000000" w14:paraId="00000018">
      <w:pPr>
        <w:pStyle w:val="Heading2"/>
        <w:rPr/>
      </w:pPr>
      <w:bookmarkStart w:colFirst="0" w:colLast="0" w:name="_nrtcl2dea3z5" w:id="7"/>
      <w:bookmarkEnd w:id="7"/>
      <w:r>
        <w:rPr>
          <w:rtl w:val="0"/>
        </w:rPr>
        <w:t xml:space="preserve">5.6 Tabla de Justificación de Servicios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b w:val="1"/>
                <w:bCs w:val="1"/>
              </w:rPr>
            </w:pPr>
            <w:r>
              <w:rPr>
                <w:b w:val="1"/>
                <w:bCs w:val="1"/>
                <w:rtl w:val="0"/>
              </w:rPr>
              <w:t xml:space="preserve">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b w:val="1"/>
                <w:bCs w:val="1"/>
              </w:rPr>
            </w:pPr>
            <w:r>
              <w:rPr>
                <w:b w:val="1"/>
                <w:bCs w:val="1"/>
                <w:rtl w:val="0"/>
              </w:rPr>
              <w:t xml:space="preserve">Alternativa Considerada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b w:val="1"/>
                <w:bCs w:val="1"/>
              </w:rPr>
            </w:pPr>
            <w:r>
              <w:rPr>
                <w:b w:val="1"/>
                <w:bCs w:val="1"/>
                <w:rtl w:val="0"/>
              </w:rPr>
              <w:t xml:space="preserve">Requisito Soportado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b w:val="1"/>
                <w:bCs w:val="1"/>
              </w:rPr>
            </w:pPr>
            <w:r>
              <w:rPr>
                <w:b w:val="1"/>
                <w:bCs w:val="1"/>
                <w:rtl w:val="0"/>
              </w:rPr>
              <w:t xml:space="preserve">Pilar(es) Well-Architected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Pr>
                <w:b w:val="1"/>
                <w:bCs w:val="1"/>
                <w:rtl w:val="0"/>
              </w:rPr>
              <w:t xml:space="preserve">Amazon EC2 (</w:t>
            </w:r>
            <w:r>
              <w:rPr>
                <w:rFonts w:ascii="Roboto Mono" w:cs="Roboto Mono" w:eastAsia="Roboto Mono" w:hAnsi="Roboto Mono"/>
                <w:b w:val="1"/>
                <w:bCs w:val="1"/>
                <w:color w:val="188038"/>
                <w:rtl w:val="0"/>
              </w:rPr>
              <w:t xml:space="preserve">t3.small</w:t>
            </w:r>
            <w:r>
              <w:rPr>
                <w:b w:val="1"/>
                <w:bCs w:val="1"/>
                <w:rtl w:val="0"/>
              </w:rPr>
              <w:t xml:space="preserv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Pr>
                <w:rtl w:val="0"/>
              </w:rPr>
              <w:t xml:space="preserve">AWS ECS / AWS Lambda / Elastic Beanstalk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Pr>
                <w:rtl w:val="0"/>
              </w:rPr>
              <w:t xml:space="preserve">R1, R2, R8, 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Pr>
                <w:rtl w:val="0"/>
              </w:rPr>
              <w:t xml:space="preserve">Optimización de Costos, Eficiencia de Rendimiento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Pr>
                <w:b w:val="1"/>
                <w:bCs w:val="1"/>
                <w:rtl w:val="0"/>
              </w:rPr>
              <w:t xml:space="preserve">Amazon RDS PostgreSQL (</w:t>
            </w:r>
            <w:r>
              <w:rPr>
                <w:rFonts w:ascii="Roboto Mono" w:cs="Roboto Mono" w:eastAsia="Roboto Mono" w:hAnsi="Roboto Mono"/>
                <w:b w:val="1"/>
                <w:bCs w:val="1"/>
                <w:color w:val="188038"/>
                <w:rtl w:val="0"/>
              </w:rPr>
              <w:t xml:space="preserve">db.t3.micro</w:t>
            </w:r>
            <w:r>
              <w:rPr>
                <w:b w:val="1"/>
                <w:bCs w:val="1"/>
                <w:rtl w:val="0"/>
              </w:rPr>
              <w:t xml:space="preserv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Pr>
                <w:rtl w:val="0"/>
              </w:rPr>
              <w:t xml:space="preserve">DynamoDB / Aurora Serverless 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Pr>
                <w:rtl w:val="0"/>
              </w:rPr>
              <w:t xml:space="preserve">R2, R3, 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Pr>
                <w:rtl w:val="0"/>
              </w:rPr>
              <w:t xml:space="preserve">Confiabilidad, Optimización de Costos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Pr>
                <w:b w:val="1"/>
                <w:bCs w:val="1"/>
                <w:rtl w:val="0"/>
              </w:rPr>
              <w:t xml:space="preserve">Amazon S3</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Pr>
                <w:rtl w:val="0"/>
              </w:rPr>
              <w:t xml:space="preserve">Volúmenes EBS / Almacenamiento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Pr>
                <w:rtl w:val="0"/>
              </w:rPr>
              <w:t xml:space="preserve">R4, R6, 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Pr>
                <w:rtl w:val="0"/>
              </w:rPr>
              <w:t xml:space="preserve">Confiabilidad, Optimización de Costos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Pr>
                <w:b w:val="1"/>
                <w:bCs w:val="1"/>
                <w:rtl w:val="0"/>
              </w:rPr>
              <w:t xml:space="preserve">Amazon EMR (</w:t>
            </w:r>
            <w:r>
              <w:rPr>
                <w:rFonts w:ascii="Roboto Mono" w:cs="Roboto Mono" w:eastAsia="Roboto Mono" w:hAnsi="Roboto Mono"/>
                <w:b w:val="1"/>
                <w:bCs w:val="1"/>
                <w:color w:val="188038"/>
                <w:rtl w:val="0"/>
              </w:rPr>
              <w:t xml:space="preserve">m4.large</w:t>
            </w:r>
            <w:r>
              <w:rPr>
                <w:b w:val="1"/>
                <w:bCs w:val="1"/>
                <w:rtl w:val="0"/>
              </w:rPr>
              <w:t xml:space="preserv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Pr>
                <w:rtl w:val="0"/>
              </w:rPr>
              <w:t xml:space="preserve">Trabajo ETL de AWS Glue / Athena CTAS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Pr>
                <w:rtl w:val="0"/>
              </w:rPr>
              <w:t xml:space="preserve">R4, R10, 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Pr>
                <w:rtl w:val="0"/>
              </w:rPr>
              <w:t xml:space="preserve">Optimización de Costos, Excelencia Operacional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Pr>
                <w:b w:val="1"/>
                <w:bCs w:val="1"/>
                <w:rtl w:val="0"/>
              </w:rPr>
              <w:t xml:space="preserve">Catálogo de Datos AWS Glue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Pr>
                <w:rtl w:val="0"/>
              </w:rPr>
              <w:t xml:space="preserve">Esquemas DDL manuales en Athena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Pr>
                <w:rtl w:val="0"/>
              </w:rPr>
              <w:t xml:space="preserve">R5, R6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Pr>
                <w:rtl w:val="0"/>
              </w:rPr>
              <w:t xml:space="preserve">Excelencia Operacional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Pr>
                <w:b w:val="1"/>
                <w:bCs w:val="1"/>
                <w:rtl w:val="0"/>
              </w:rPr>
              <w:t xml:space="preserve">Amazon Athena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Pr>
                <w:rtl w:val="0"/>
              </w:rPr>
              <w:t xml:space="preserve">Tablas pre-agregadas en RDS / Redshift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Pr>
                <w:rtl w:val="0"/>
              </w:rPr>
              <w:t xml:space="preserve">R6, R7, R9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Pr>
                <w:rtl w:val="0"/>
              </w:rPr>
              <w:t xml:space="preserve">Optimización de Costos, Eficiencia de Rendimiento</w:t>
            </w:r>
          </w:p>
        </w:tc>
      </w:tr>
    </w:tbl>
    <w:p w:rsidR="00000000" w:rsidDel="00000000" w:rsidP="00000000" w:rsidRDefault="00000000" w:rsidRPr="00000000" w14:paraId="00000035">
      <w:pPr>
        <w:rPr/>
      </w:pPr>
      <w:r>
        <w:rPr>
          <w:rtl w:val="0"/>
        </w:rPr>
      </w:r>
    </w:p>
    <w:p w:rsidR="00000000" w:rsidDel="00000000" w:rsidP="00000000" w:rsidRDefault="00000000" w:rsidRPr="00000000" w14:paraId="00000036">
      <w:pPr>
        <w:rPr/>
      </w:pPr>
      <w:r>
        <w:pict>
          <v:rect style="width:0.0pt;height:1.5pt" o:hr="t" o:hrstd="t" o:hralign="center" fillcolor="#A0A0A0" stroked="f"/>
        </w:pict>
      </w:r>
      <w:r>
        <w:rPr>
          <w:rtl w:val="0"/>
        </w:rPr>
      </w:r>
    </w:p>
    <w:p w:rsidR="00000000" w:rsidDel="00000000" w:rsidP="00000000" w:rsidRDefault="00000000" w:rsidRPr="00000000" w14:paraId="00000037">
      <w:pPr>
        <w:pStyle w:val="Heading2"/>
        <w:rPr/>
      </w:pPr>
      <w:bookmarkStart w:colFirst="0" w:colLast="0" w:name="_1nezjnpsmecz" w:id="8"/>
      <w:bookmarkEnd w:id="8"/>
      <w:r>
        <w:rPr>
          <w:rtl w:val="0"/>
        </w:rPr>
        <w:t xml:space="preserve">5.7 Proyección de Costos y Narrativa de Escalabilidad</w:t>
      </w:r>
    </w:p>
    <w:p w:rsidR="00000000" w:rsidDel="00000000" w:rsidP="00000000" w:rsidRDefault="00000000" w:rsidRPr="00000000" w14:paraId="00000038">
      <w:pPr>
        <w:pStyle w:val="Heading3"/>
        <w:rPr/>
      </w:pPr>
      <w:bookmarkStart w:colFirst="0" w:colLast="0" w:name="_m4rcxgh2nyro" w:id="9"/>
      <w:bookmarkEnd w:id="9"/>
      <w:r>
        <w:rPr>
          <w:rtl w:val="0"/>
        </w:rPr>
        <w:t xml:space="preserve">Proyección de Costos (</w:t>
      </w:r>
      <w:r>
        <w:rPr>
          <w:rFonts w:ascii="Roboto Mono" w:cs="Roboto Mono" w:eastAsia="Roboto Mono" w:hAnsi="Roboto Mono"/>
          <w:color w:val="188038"/>
          <w:rtl w:val="0"/>
        </w:rPr>
        <w:t xml:space="preserve">cost_projection.yaml</w:t>
      </w:r>
      <w:r>
        <w:rPr>
          <w:rtl w:val="0"/>
        </w:rPr>
        <w:t xml:space="preserve">)</w:t>
      </w:r>
    </w:p>
    <w:p w:rsidR="00000000" w:rsidDel="00000000" w:rsidP="00000000" w:rsidRDefault="00000000" w:rsidRPr="00000000" w14:paraId="00000039">
      <w:pPr>
        <w:rPr/>
      </w:pPr>
      <w:r>
        <w:rPr>
          <w:rtl w:val="0"/>
        </w:rPr>
        <w:t xml:space="preserve">assumptions: "1000 usuarios activos, 5000 reservas/dia, 2.08M filas crudas (106 MB CSV en S3) que el job de EMR reduce a 2.006.136 filas curadas (19,6 MB de Parquet Snappy en 24 particiones mensuales). Un run de EMR al mes. ~1000 consultas/mes a Athena, cada una escaneando una particion (~0,8 MB)."</w:t>
      </w:r>
    </w:p>
    <w:p w:rsidR="00000000" w:rsidDel="00000000" w:rsidP="00000000" w:rsidRDefault="00000000" w:rsidRPr="00000000" w14:paraId="0000003A">
      <w:pPr>
        <w:rPr/>
      </w:pPr>
      <w:r>
        <w:rPr>
          <w:rtl w:val="0"/>
        </w:rPr>
      </w:r>
    </w:p>
    <w:p w:rsidR="00000000" w:rsidDel="00000000" w:rsidP="00000000" w:rsidRDefault="00000000" w:rsidRPr="00000000" w14:paraId="0000003B">
      <w:pPr>
        <w:rPr/>
      </w:pPr>
      <w:r>
        <w:rPr>
          <w:rtl w:val="0"/>
        </w:rPr>
        <w:t xml:space="preserve">line_items:</w:t>
      </w:r>
    </w:p>
    <w:p w:rsidR="00000000" w:rsidDel="00000000" w:rsidP="00000000" w:rsidRDefault="00000000" w:rsidRPr="00000000" w14:paraId="0000003C">
      <w:pPr>
        <w:rPr/>
      </w:pPr>
      <w:r>
        <w:rPr>
          <w:rtl w:val="0"/>
        </w:rPr>
      </w:r>
    </w:p>
    <w:p w:rsidR="00000000" w:rsidDel="00000000" w:rsidP="00000000" w:rsidRDefault="00000000" w:rsidRPr="00000000" w14:paraId="0000003D">
      <w:pPr>
        <w:rPr/>
      </w:pPr>
      <w:r>
        <w:rPr>
          <w:rtl w:val="0"/>
        </w:rPr>
        <w:t xml:space="preserve">- {service: "RDS", detail: "db.t3.micro Single-AZ (12.41) + 20 GB gp2 (2.30), sin backups", monthly_usd: 14.71}</w:t>
      </w:r>
    </w:p>
    <w:p w:rsidR="00000000" w:rsidDel="00000000" w:rsidP="00000000" w:rsidRDefault="00000000" w:rsidRPr="00000000" w14:paraId="0000003E">
      <w:pPr>
        <w:rPr/>
      </w:pPr>
      <w:r>
        <w:rPr>
          <w:rtl w:val="0"/>
        </w:rPr>
      </w:r>
    </w:p>
    <w:p w:rsidR="00000000" w:rsidDel="00000000" w:rsidP="00000000" w:rsidRDefault="00000000" w:rsidRPr="00000000" w14:paraId="0000003F">
      <w:pPr>
        <w:rPr/>
      </w:pPr>
      <w:r>
        <w:rPr>
          <w:rtl w:val="0"/>
        </w:rPr>
        <w:t xml:space="preserve">- {service: "EC2", detail: "t3.small sirviendo backend FastAPI y frontend (15.18) + 8 GB gp3 (0.64)", monthly_usd: 15.82}</w:t>
      </w:r>
    </w:p>
    <w:p w:rsidR="00000000" w:rsidDel="00000000" w:rsidP="00000000" w:rsidRDefault="00000000" w:rsidRPr="00000000" w14:paraId="00000040">
      <w:pPr>
        <w:rPr/>
      </w:pPr>
      <w:r>
        <w:rPr>
          <w:rtl w:val="0"/>
        </w:rPr>
      </w:r>
    </w:p>
    <w:p w:rsidR="00000000" w:rsidDel="00000000" w:rsidP="00000000" w:rsidRDefault="00000000" w:rsidRPr="00000000" w14:paraId="00000041">
      <w:pPr>
        <w:rPr/>
      </w:pPr>
      <w:r>
        <w:rPr>
          <w:rtl w:val="0"/>
        </w:rPr>
        <w:t xml:space="preserve">- {service: "S3", detail: "0.11 GB (raw CSV + Parquet curado + logs de EMR + resultados de Athena)", monthly_usd: 0.10}</w:t>
      </w:r>
    </w:p>
    <w:p w:rsidR="00000000" w:rsidDel="00000000" w:rsidP="00000000" w:rsidRDefault="00000000" w:rsidRPr="00000000" w14:paraId="00000042">
      <w:pPr>
        <w:rPr/>
      </w:pPr>
      <w:r>
        <w:rPr>
          <w:rtl w:val="0"/>
        </w:rPr>
      </w:r>
    </w:p>
    <w:p w:rsidR="00000000" w:rsidDel="00000000" w:rsidP="00000000" w:rsidRDefault="00000000" w:rsidRPr="00000000" w14:paraId="00000043">
      <w:pPr>
        <w:rPr/>
      </w:pPr>
      <w:r>
        <w:rPr>
          <w:rtl w:val="0"/>
        </w:rPr>
        <w:t xml:space="preserve">- {service: "Athena", detail: "~1 GB escaneado/mes gracias a particionado por mes y Parquet columnar", monthly_usd: 0.05}</w:t>
      </w:r>
    </w:p>
    <w:p w:rsidR="00000000" w:rsidDel="00000000" w:rsidP="00000000" w:rsidRDefault="00000000" w:rsidRPr="00000000" w14:paraId="00000044">
      <w:pPr>
        <w:rPr/>
      </w:pPr>
      <w:r>
        <w:rPr>
          <w:rtl w:val="0"/>
        </w:rPr>
      </w:r>
    </w:p>
    <w:p w:rsidR="00000000" w:rsidDel="00000000" w:rsidP="00000000" w:rsidRDefault="00000000" w:rsidRPr="00000000" w14:paraId="00000045">
      <w:pPr>
        <w:rPr/>
      </w:pPr>
      <w:r>
        <w:rPr>
          <w:rtl w:val="0"/>
        </w:rPr>
        <w:t xml:space="preserve">- {service: "EMR", detail: "1 run/mes, 3 x m4.large con auto-terminate, 24 normalized instance hours", monthly_usd: 0.72}</w:t>
        <w:br w:type="textWrapping"/>
        <w:t xml:space="preserve"/>
        <w:br w:type="textWrapping"/>
        <w:t xml:space="preserve">- {service: "Glue", detail: "Data Catalog: 2 tablas y 24 particiones, por debajo del millon de objetos gratis", monthly_usd: 0.00}</w:t>
      </w:r>
    </w:p>
    <w:p w:rsidR="00000000" w:rsidDel="00000000" w:rsidP="00000000" w:rsidRDefault="00000000" w:rsidRPr="00000000" w14:paraId="00000046">
      <w:pPr>
        <w:pStyle w:val="Heading3"/>
        <w:rPr/>
      </w:pPr>
      <w:bookmarkStart w:colFirst="0" w:colLast="0" w:name="_hiuzy8mb2pce" w:id="10"/>
      <w:bookmarkEnd w:id="10"/>
      <w:r>
        <w:rPr>
          <w:rtl w:val="0"/>
        </w:rPr>
        <w:t xml:space="preserve">Narrativa de Escalabilidad y Costos</w:t>
      </w:r>
    </w:p>
    <w:p w:rsidR="00000000" w:rsidDel="00000000" w:rsidP="00000000" w:rsidRDefault="00000000" w:rsidRPr="00000000" w14:paraId="00000047">
      <w:pPr>
        <w:numPr>
          <w:ilvl w:val="0"/>
          <w:numId w:val="1"/>
        </w:numPr>
        <w:ind w:left="720" w:hanging="360"/>
      </w:pPr>
      <w:r>
        <w:rPr>
          <w:b w:val="1"/>
          <w:bCs w:val="1"/>
          <w:rtl w:val="0"/>
        </w:rPr>
        <w:t xml:space="preserve">Volumen Multiplicado por 10:</w:t>
      </w:r>
      <w:r>
        <w:rPr>
          <w:rtl w:val="0"/>
        </w:rPr>
        <w:t xml:space="preserve"> Si los volúmenes de datos y consultas aumentan diez veces (20 millones de filas, 10,000 solicitudes diarias), el almacenamiento transaccional (RDS </w:t>
      </w:r>
      <w:r>
        <w:rPr>
          <w:rFonts w:ascii="Roboto Mono" w:cs="Roboto Mono" w:eastAsia="Roboto Mono" w:hAnsi="Roboto Mono"/>
          <w:color w:val="188038"/>
          <w:rtl w:val="0"/>
        </w:rPr>
        <w:t xml:space="preserve">db.t3.micro</w:t>
      </w:r>
      <w:r>
        <w:rPr>
          <w:rtl w:val="0"/>
        </w:rPr>
        <w:t xml:space="preserve">) y el cómputo del backend (EC2 </w:t>
      </w:r>
      <w:r>
        <w:rPr>
          <w:rFonts w:ascii="Roboto Mono" w:cs="Roboto Mono" w:eastAsia="Roboto Mono" w:hAnsi="Roboto Mono"/>
          <w:color w:val="188038"/>
          <w:rtl w:val="0"/>
        </w:rPr>
        <w:t xml:space="preserve">t3.small</w:t>
      </w:r>
      <w:r>
        <w:rPr>
          <w:rtl w:val="0"/>
        </w:rPr>
        <w:t xml:space="preserve">) eventualmente experimentarían contención de recursos. Sin embargo, debido a que nuestra arquitectura desacopla la analítica del procesamiento transaccional, la capa de big data (S3, EMR, Athena) escala horizontalmente sin impacto en las reservas. El tiempo de ejecución de EMR escalaría linealmente, permaneciendo muy por debajo del límite de 150 horas (R10) mediante el mantenimiento de la auto-terminación. Los costos de Athena aumentarían modestamente según los datos escaneados, pero el particionamiento columnar Parquet asegura que los costos de consulta se mantengan mínimos.</w:t>
      </w:r>
    </w:p>
    <w:p w:rsidR="00000000" w:rsidDel="00000000" w:rsidP="00000000" w:rsidRDefault="00000000" w:rsidRPr="00000000" w14:paraId="00000048">
      <w:pPr>
        <w:numPr>
          <w:ilvl w:val="0"/>
          <w:numId w:val="1"/>
        </w:numPr>
        <w:ind w:left="720" w:hanging="360"/>
      </w:pPr>
      <w:r>
        <w:rPr>
          <w:b w:val="1"/>
          <w:bCs w:val="1"/>
          <w:rtl w:val="0"/>
        </w:rPr>
        <w:t xml:space="preserve">Pilares de Optimización de Costos y Sostenibilidad:</w:t>
      </w:r>
      <w:r>
        <w:rPr>
          <w:rtl w:val="0"/>
        </w:rPr>
        <w:t xml:space="preserve"> Al utilizar recursos de zona única (Single-AZ), apagar EMR inmediatamente después del procesamiento por lotes, y evitar clústeres gestionados sobre-aprovisionados o NAT Gateways, nuestro diseño se adhiere estrictamente a la restricción presupuestaria de US$50 del Learner Lab (R12), minimizando emisiones de cómputo innecesarias y desperdicio de energía en reposo.</w:t>
      </w:r>
    </w:p>
    <w:p w:rsidR="00000000" w:rsidDel="00000000" w:rsidP="00000000" w:rsidRDefault="00000000" w:rsidRPr="00000000" w14:paraId="00000049">
      <w:pPr>
        <w:ind w:left="0" w:firstLine="0"/>
        <w:rPr/>
      </w:pPr>
      <w:r>
        <w:rPr>
          <w:rtl w:val="0"/>
        </w:rPr>
      </w:r>
    </w:p>
    <w:p>
      <w:pPr>
        <w:pStyle w:val="Heading2"/>
        <w:rPr/>
      </w:pPr>
      <w:r>
        <w:rPr>
          <w:rtl w:val="0"/>
        </w:rPr>
        <w:t xml:space="preserve">6. Resultados de la Verificación Automatizada (Harness)</w:t>
      </w:r>
    </w:p>
    <w:p>
      <w:pPr>
        <w:ind w:left="0" w:firstLine="0"/>
        <w:rPr/>
      </w:pPr>
      <w:r>
        <w:rPr>
          <w:rtl w:val="0"/>
        </w:rPr>
        <w:t xml:space="preserve">Ejecución completa del harness del profesor contra el sistema desplegado (semilla 3604, cuenta 723400800674, backend y frontend servidos por la misma instancia EC2 en el puerto 8000). El archivo report.md generado se incluye en la entrega junto al repositorio.</w:t>
      </w:r>
    </w:p>
    <w:p>
      <w:pPr>
        <w:ind w:left="0" w:firstLine="0"/>
        <w:rPr/>
      </w:pPr>
      <w:r>
        <w:rPr>
          <w:b w:val="1"/>
          <w:bCs w:val="1"/>
          <w:rtl w:val="0"/>
        </w:rPr>
        <w:t xml:space="preserve">Puntaje automatizado: 70,0 / 70,0 — 23 pruebas, 0 fallos, 3 min 03 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1950"/>
        <w:gridCol w:w="1150"/>
        <w:gridCol w:w="850"/>
        <w:gridCol w:w="4660"/>
      </w:tblGrid>
      <w:tr>
        <w:trPr>
          <w:cantSplit w:val="0"/>
          <w:tblHeader w:val="1"/>
        </w:trPr>
        <w:tc>
          <w:tcPr>
            <w:tcW w:w="750" w:type="dxa"/>
            <w:shd w:fill="auto" w:val="clear"/>
            <w:tcMar>
              <w:top w:w="100.0" w:type="dxa"/>
              <w:left w:w="100.0" w:type="dxa"/>
              <w:bottom w:w="100.0" w:type="dxa"/>
              <w:right w:w="100.0" w:type="dxa"/>
            </w:tcMar>
            <w:vAlign w:val="top"/>
          </w:tcPr>
          <w:p>
            <w:pPr>
              <w:rPr/>
            </w:pPr>
            <w:r>
              <w:rPr>
                <w:b w:val="1"/>
                <w:bCs w:val="1"/>
                <w:rtl w:val="0"/>
              </w:rPr>
              <w:t xml:space="preserve">Req</w:t>
            </w:r>
          </w:p>
        </w:tc>
        <w:tc>
          <w:tcPr>
            <w:tcW w:w="1950" w:type="dxa"/>
            <w:shd w:fill="auto" w:val="clear"/>
            <w:tcMar>
              <w:top w:w="100.0" w:type="dxa"/>
              <w:left w:w="100.0" w:type="dxa"/>
              <w:bottom w:w="100.0" w:type="dxa"/>
              <w:right w:w="100.0" w:type="dxa"/>
            </w:tcMar>
            <w:vAlign w:val="top"/>
          </w:tcPr>
          <w:p>
            <w:pPr>
              <w:rPr/>
            </w:pPr>
            <w:r>
              <w:rPr>
                <w:b w:val="1"/>
                <w:bCs w:val="1"/>
                <w:rtl w:val="0"/>
              </w:rPr>
              <w:t xml:space="preserve">Requisito</w:t>
            </w:r>
          </w:p>
        </w:tc>
        <w:tc>
          <w:tcPr>
            <w:tcW w:w="1150" w:type="dxa"/>
            <w:shd w:fill="auto" w:val="clear"/>
            <w:tcMar>
              <w:top w:w="100.0" w:type="dxa"/>
              <w:left w:w="100.0" w:type="dxa"/>
              <w:bottom w:w="100.0" w:type="dxa"/>
              <w:right w:w="100.0" w:type="dxa"/>
            </w:tcMar>
            <w:vAlign w:val="top"/>
          </w:tcPr>
          <w:p>
            <w:pPr>
              <w:rPr/>
            </w:pPr>
            <w:r>
              <w:rPr>
                <w:b w:val="1"/>
                <w:bCs w:val="1"/>
                <w:rtl w:val="0"/>
              </w:rPr>
              <w:t xml:space="preserve">Estado</w:t>
            </w:r>
          </w:p>
        </w:tc>
        <w:tc>
          <w:tcPr>
            <w:tcW w:w="850" w:type="dxa"/>
            <w:shd w:fill="auto" w:val="clear"/>
            <w:tcMar>
              <w:top w:w="100.0" w:type="dxa"/>
              <w:left w:w="100.0" w:type="dxa"/>
              <w:bottom w:w="100.0" w:type="dxa"/>
              <w:right w:w="100.0" w:type="dxa"/>
            </w:tcMar>
            <w:vAlign w:val="top"/>
          </w:tcPr>
          <w:p>
            <w:pPr>
              <w:rPr/>
            </w:pPr>
            <w:r>
              <w:rPr>
                <w:b w:val="1"/>
                <w:bCs w:val="1"/>
                <w:rtl w:val="0"/>
              </w:rPr>
              <w:t xml:space="preserve">Pts</w:t>
            </w:r>
          </w:p>
        </w:tc>
        <w:tc>
          <w:tcPr>
            <w:tcW w:w="4660" w:type="dxa"/>
            <w:shd w:fill="auto" w:val="clear"/>
            <w:tcMar>
              <w:top w:w="100.0" w:type="dxa"/>
              <w:left w:w="100.0" w:type="dxa"/>
              <w:bottom w:w="100.0" w:type="dxa"/>
              <w:right w:w="100.0" w:type="dxa"/>
            </w:tcMar>
            <w:vAlign w:val="top"/>
          </w:tcPr>
          <w:p>
            <w:pPr>
              <w:rPr/>
            </w:pPr>
            <w:r>
              <w:rPr>
                <w:b w:val="1"/>
                <w:bCs w:val="1"/>
                <w:rtl w:val="0"/>
              </w:rPr>
              <w:t xml:space="preserve">Evidencia medida por el harness</w:t>
            </w:r>
          </w:p>
        </w:tc>
      </w:tr>
      <w:tr>
        <w:tc>
          <w:tcPr>
            <w:tcW w:w="750" w:type="dxa"/>
            <w:shd w:fill="auto" w:val="clear"/>
            <w:tcMar>
              <w:top w:w="100.0" w:type="dxa"/>
              <w:left w:w="100.0" w:type="dxa"/>
              <w:bottom w:w="100.0" w:type="dxa"/>
              <w:right w:w="100.0" w:type="dxa"/>
            </w:tcMar>
            <w:vAlign w:val="top"/>
          </w:tcPr>
          <w:p>
            <w:pPr>
              <w:rPr/>
            </w:pPr>
            <w:r>
              <w:rPr>
                <w:rtl w:val="0"/>
              </w:rPr>
              <w:t xml:space="preserve">R1</w:t>
            </w:r>
          </w:p>
        </w:tc>
        <w:tc>
          <w:tcPr>
            <w:tcW w:w="1950" w:type="dxa"/>
            <w:shd w:fill="auto" w:val="clear"/>
            <w:tcMar>
              <w:top w:w="100.0" w:type="dxa"/>
              <w:left w:w="100.0" w:type="dxa"/>
              <w:bottom w:w="100.0" w:type="dxa"/>
              <w:right w:w="100.0" w:type="dxa"/>
            </w:tcMar>
            <w:vAlign w:val="top"/>
          </w:tcPr>
          <w:p>
            <w:pPr>
              <w:rPr/>
            </w:pPr>
            <w:r>
              <w:rPr>
                <w:rtl w:val="0"/>
              </w:rPr>
              <w:t xml:space="preserve">Latencia de búsqueda</w:t>
            </w:r>
          </w:p>
        </w:tc>
        <w:tc>
          <w:tcPr>
            <w:tcW w:w="1150" w:type="dxa"/>
            <w:shd w:fill="auto" w:val="clear"/>
            <w:tcMar>
              <w:top w:w="100.0" w:type="dxa"/>
              <w:left w:w="100.0" w:type="dxa"/>
              <w:bottom w:w="100.0" w:type="dxa"/>
              <w:right w:w="100.0" w:type="dxa"/>
            </w:tcMar>
            <w:vAlign w:val="top"/>
          </w:tcPr>
          <w:p>
            <w:pPr>
              <w:rPr/>
            </w:pPr>
            <w:r>
              <w:rPr>
                <w:rtl w:val="0"/>
              </w:rPr>
              <w:t xml:space="preserve">passed</w:t>
            </w:r>
          </w:p>
        </w:tc>
        <w:tc>
          <w:tcPr>
            <w:tcW w:w="850" w:type="dxa"/>
            <w:shd w:fill="auto" w:val="clear"/>
            <w:tcMar>
              <w:top w:w="100.0" w:type="dxa"/>
              <w:left w:w="100.0" w:type="dxa"/>
              <w:bottom w:w="100.0" w:type="dxa"/>
              <w:right w:w="100.0" w:type="dxa"/>
            </w:tcMar>
            <w:vAlign w:val="top"/>
          </w:tcPr>
          <w:p>
            <w:pPr>
              <w:rPr/>
            </w:pPr>
            <w:r>
              <w:rPr>
                <w:rtl w:val="0"/>
              </w:rPr>
              <w:t xml:space="preserve">4/4</w:t>
            </w:r>
          </w:p>
        </w:tc>
        <w:tc>
          <w:tcPr>
            <w:tcW w:w="4660" w:type="dxa"/>
            <w:shd w:fill="auto" w:val="clear"/>
            <w:tcMar>
              <w:top w:w="100.0" w:type="dxa"/>
              <w:left w:w="100.0" w:type="dxa"/>
              <w:bottom w:w="100.0" w:type="dxa"/>
              <w:right w:w="100.0" w:type="dxa"/>
            </w:tcMar>
            <w:vAlign w:val="top"/>
          </w:tcPr>
          <w:p>
            <w:pPr>
              <w:rPr/>
            </w:pPr>
            <w:r>
              <w:rPr>
                <w:rtl w:val="0"/>
              </w:rPr>
              <w:t xml:space="preserve">p50 = 0,179 s; p95 = 0,260 s (límite 1,0 s)</w:t>
            </w:r>
          </w:p>
        </w:tc>
      </w:tr>
      <w:tr>
        <w:tc>
          <w:tcPr>
            <w:tcW w:w="750" w:type="dxa"/>
            <w:shd w:fill="auto" w:val="clear"/>
            <w:tcMar>
              <w:top w:w="100.0" w:type="dxa"/>
              <w:left w:w="100.0" w:type="dxa"/>
              <w:bottom w:w="100.0" w:type="dxa"/>
              <w:right w:w="100.0" w:type="dxa"/>
            </w:tcMar>
            <w:vAlign w:val="top"/>
          </w:tcPr>
          <w:p>
            <w:pPr>
              <w:rPr/>
            </w:pPr>
            <w:r>
              <w:rPr>
                <w:rtl w:val="0"/>
              </w:rPr>
              <w:t xml:space="preserve">R2</w:t>
            </w:r>
          </w:p>
        </w:tc>
        <w:tc>
          <w:tcPr>
            <w:tcW w:w="1950" w:type="dxa"/>
            <w:shd w:fill="auto" w:val="clear"/>
            <w:tcMar>
              <w:top w:w="100.0" w:type="dxa"/>
              <w:left w:w="100.0" w:type="dxa"/>
              <w:bottom w:w="100.0" w:type="dxa"/>
              <w:right w:w="100.0" w:type="dxa"/>
            </w:tcMar>
            <w:vAlign w:val="top"/>
          </w:tcPr>
          <w:p>
            <w:pPr>
              <w:rPr/>
            </w:pPr>
            <w:r>
              <w:rPr>
                <w:rtl w:val="0"/>
              </w:rPr>
              <w:t xml:space="preserve">Cero sobreventa</w:t>
            </w:r>
          </w:p>
        </w:tc>
        <w:tc>
          <w:tcPr>
            <w:tcW w:w="1150" w:type="dxa"/>
            <w:shd w:fill="auto" w:val="clear"/>
            <w:tcMar>
              <w:top w:w="100.0" w:type="dxa"/>
              <w:left w:w="100.0" w:type="dxa"/>
              <w:bottom w:w="100.0" w:type="dxa"/>
              <w:right w:w="100.0" w:type="dxa"/>
            </w:tcMar>
            <w:vAlign w:val="top"/>
          </w:tcPr>
          <w:p>
            <w:pPr>
              <w:rPr/>
            </w:pPr>
            <w:r>
              <w:rPr>
                <w:rtl w:val="0"/>
              </w:rPr>
              <w:t xml:space="preserve">passed</w:t>
            </w:r>
          </w:p>
        </w:tc>
        <w:tc>
          <w:tcPr>
            <w:tcW w:w="850" w:type="dxa"/>
            <w:shd w:fill="auto" w:val="clear"/>
            <w:tcMar>
              <w:top w:w="100.0" w:type="dxa"/>
              <w:left w:w="100.0" w:type="dxa"/>
              <w:bottom w:w="100.0" w:type="dxa"/>
              <w:right w:w="100.0" w:type="dxa"/>
            </w:tcMar>
            <w:vAlign w:val="top"/>
          </w:tcPr>
          <w:p>
            <w:pPr>
              <w:rPr/>
            </w:pPr>
            <w:r>
              <w:rPr>
                <w:rtl w:val="0"/>
              </w:rPr>
              <w:t xml:space="preserve">10/10</w:t>
            </w:r>
          </w:p>
        </w:tc>
        <w:tc>
          <w:tcPr>
            <w:tcW w:w="4660" w:type="dxa"/>
            <w:shd w:fill="auto" w:val="clear"/>
            <w:tcMar>
              <w:top w:w="100.0" w:type="dxa"/>
              <w:left w:w="100.0" w:type="dxa"/>
              <w:bottom w:w="100.0" w:type="dxa"/>
              <w:right w:w="100.0" w:type="dxa"/>
            </w:tcMar>
            <w:vAlign w:val="top"/>
          </w:tcPr>
          <w:p>
            <w:pPr>
              <w:rPr/>
            </w:pPr>
            <w:r>
              <w:rPr>
                <w:rtl w:val="0"/>
              </w:rPr>
              <w:t xml:space="preserve">5 rondas con 1 asiento: 201=1, 409=49, other=0. 5 rondas con K=8: 201=8 exacto</w:t>
            </w:r>
          </w:p>
        </w:tc>
      </w:tr>
      <w:tr>
        <w:tc>
          <w:tcPr>
            <w:tcW w:w="750" w:type="dxa"/>
            <w:shd w:fill="auto" w:val="clear"/>
            <w:tcMar>
              <w:top w:w="100.0" w:type="dxa"/>
              <w:left w:w="100.0" w:type="dxa"/>
              <w:bottom w:w="100.0" w:type="dxa"/>
              <w:right w:w="100.0" w:type="dxa"/>
            </w:tcMar>
            <w:vAlign w:val="top"/>
          </w:tcPr>
          <w:p>
            <w:pPr>
              <w:rPr/>
            </w:pPr>
            <w:r>
              <w:rPr>
                <w:rtl w:val="0"/>
              </w:rPr>
              <w:t xml:space="preserve">R3</w:t>
            </w:r>
          </w:p>
        </w:tc>
        <w:tc>
          <w:tcPr>
            <w:tcW w:w="1950" w:type="dxa"/>
            <w:shd w:fill="auto" w:val="clear"/>
            <w:tcMar>
              <w:top w:w="100.0" w:type="dxa"/>
              <w:left w:w="100.0" w:type="dxa"/>
              <w:bottom w:w="100.0" w:type="dxa"/>
              <w:right w:w="100.0" w:type="dxa"/>
            </w:tcMar>
            <w:vAlign w:val="top"/>
          </w:tcPr>
          <w:p>
            <w:pPr>
              <w:rPr/>
            </w:pPr>
            <w:r>
              <w:rPr>
                <w:rtl w:val="0"/>
              </w:rPr>
              <w:t xml:space="preserve">Lectura de reserva</w:t>
            </w:r>
          </w:p>
        </w:tc>
        <w:tc>
          <w:tcPr>
            <w:tcW w:w="1150" w:type="dxa"/>
            <w:shd w:fill="auto" w:val="clear"/>
            <w:tcMar>
              <w:top w:w="100.0" w:type="dxa"/>
              <w:left w:w="100.0" w:type="dxa"/>
              <w:bottom w:w="100.0" w:type="dxa"/>
              <w:right w:w="100.0" w:type="dxa"/>
            </w:tcMar>
            <w:vAlign w:val="top"/>
          </w:tcPr>
          <w:p>
            <w:pPr>
              <w:rPr/>
            </w:pPr>
            <w:r>
              <w:rPr>
                <w:rtl w:val="0"/>
              </w:rPr>
              <w:t xml:space="preserve">passed</w:t>
            </w:r>
          </w:p>
        </w:tc>
        <w:tc>
          <w:tcPr>
            <w:tcW w:w="850" w:type="dxa"/>
            <w:shd w:fill="auto" w:val="clear"/>
            <w:tcMar>
              <w:top w:w="100.0" w:type="dxa"/>
              <w:left w:w="100.0" w:type="dxa"/>
              <w:bottom w:w="100.0" w:type="dxa"/>
              <w:right w:w="100.0" w:type="dxa"/>
            </w:tcMar>
            <w:vAlign w:val="top"/>
          </w:tcPr>
          <w:p>
            <w:pPr>
              <w:rPr/>
            </w:pPr>
            <w:r>
              <w:rPr>
                <w:rtl w:val="0"/>
              </w:rPr>
              <w:t xml:space="preserve">3/3</w:t>
            </w:r>
          </w:p>
        </w:tc>
        <w:tc>
          <w:tcPr>
            <w:tcW w:w="4660" w:type="dxa"/>
            <w:shd w:fill="auto" w:val="clear"/>
            <w:tcMar>
              <w:top w:w="100.0" w:type="dxa"/>
              <w:left w:w="100.0" w:type="dxa"/>
              <w:bottom w:w="100.0" w:type="dxa"/>
              <w:right w:w="100.0" w:type="dxa"/>
            </w:tcMar>
            <w:vAlign w:val="top"/>
          </w:tcPr>
          <w:p>
            <w:pPr>
              <w:rPr/>
            </w:pPr>
            <w:r>
              <w:rPr>
                <w:rtl w:val="0"/>
              </w:rPr>
              <w:t xml:space="preserve">200 con la reserva creada; 404 para un id inexistente</w:t>
            </w:r>
          </w:p>
        </w:tc>
      </w:tr>
      <w:tr>
        <w:tc>
          <w:tcPr>
            <w:tcW w:w="750" w:type="dxa"/>
            <w:shd w:fill="auto" w:val="clear"/>
            <w:tcMar>
              <w:top w:w="100.0" w:type="dxa"/>
              <w:left w:w="100.0" w:type="dxa"/>
              <w:bottom w:w="100.0" w:type="dxa"/>
              <w:right w:w="100.0" w:type="dxa"/>
            </w:tcMar>
            <w:vAlign w:val="top"/>
          </w:tcPr>
          <w:p>
            <w:pPr>
              <w:rPr/>
            </w:pPr>
            <w:r>
              <w:rPr>
                <w:rtl w:val="0"/>
              </w:rPr>
              <w:t xml:space="preserve">R4</w:t>
            </w:r>
          </w:p>
        </w:tc>
        <w:tc>
          <w:tcPr>
            <w:tcW w:w="1950" w:type="dxa"/>
            <w:shd w:fill="auto" w:val="clear"/>
            <w:tcMar>
              <w:top w:w="100.0" w:type="dxa"/>
              <w:left w:w="100.0" w:type="dxa"/>
              <w:bottom w:w="100.0" w:type="dxa"/>
              <w:right w:w="100.0" w:type="dxa"/>
            </w:tcMar>
            <w:vAlign w:val="top"/>
          </w:tcPr>
          <w:p>
            <w:pPr>
              <w:rPr/>
            </w:pPr>
            <w:r>
              <w:rPr>
                <w:rtl w:val="0"/>
              </w:rPr>
              <w:t xml:space="preserve">EMR produce el Parquet curado</w:t>
            </w:r>
          </w:p>
        </w:tc>
        <w:tc>
          <w:tcPr>
            <w:tcW w:w="1150" w:type="dxa"/>
            <w:shd w:fill="auto" w:val="clear"/>
            <w:tcMar>
              <w:top w:w="100.0" w:type="dxa"/>
              <w:left w:w="100.0" w:type="dxa"/>
              <w:bottom w:w="100.0" w:type="dxa"/>
              <w:right w:w="100.0" w:type="dxa"/>
            </w:tcMar>
            <w:vAlign w:val="top"/>
          </w:tcPr>
          <w:p>
            <w:pPr>
              <w:rPr/>
            </w:pPr>
            <w:r>
              <w:rPr>
                <w:rtl w:val="0"/>
              </w:rPr>
              <w:t xml:space="preserve">passed</w:t>
            </w:r>
          </w:p>
        </w:tc>
        <w:tc>
          <w:tcPr>
            <w:tcW w:w="850" w:type="dxa"/>
            <w:shd w:fill="auto" w:val="clear"/>
            <w:tcMar>
              <w:top w:w="100.0" w:type="dxa"/>
              <w:left w:w="100.0" w:type="dxa"/>
              <w:bottom w:w="100.0" w:type="dxa"/>
              <w:right w:w="100.0" w:type="dxa"/>
            </w:tcMar>
            <w:vAlign w:val="top"/>
          </w:tcPr>
          <w:p>
            <w:pPr>
              <w:rPr/>
            </w:pPr>
            <w:r>
              <w:rPr>
                <w:rtl w:val="0"/>
              </w:rPr>
              <w:t xml:space="preserve">8/8</w:t>
            </w:r>
          </w:p>
        </w:tc>
        <w:tc>
          <w:tcPr>
            <w:tcW w:w="4660" w:type="dxa"/>
            <w:shd w:fill="auto" w:val="clear"/>
            <w:tcMar>
              <w:top w:w="100.0" w:type="dxa"/>
              <w:left w:w="100.0" w:type="dxa"/>
              <w:bottom w:w="100.0" w:type="dxa"/>
              <w:right w:w="100.0" w:type="dxa"/>
            </w:tcMar>
            <w:vAlign w:val="top"/>
          </w:tcPr>
          <w:p>
            <w:pPr>
              <w:rPr/>
            </w:pPr>
            <w:r>
              <w:rPr>
                <w:rtl w:val="0"/>
              </w:rPr>
              <w:t xml:space="preserve">2 steps COMPLETED; 24/24 Parquet escritos dentro de la ventana del step; 2.006.136 filas exactas; 3 revenues mensuales idénticos</w:t>
            </w:r>
          </w:p>
        </w:tc>
      </w:tr>
      <w:tr>
        <w:tc>
          <w:tcPr>
            <w:tcW w:w="750" w:type="dxa"/>
            <w:shd w:fill="auto" w:val="clear"/>
            <w:tcMar>
              <w:top w:w="100.0" w:type="dxa"/>
              <w:left w:w="100.0" w:type="dxa"/>
              <w:bottom w:w="100.0" w:type="dxa"/>
              <w:right w:w="100.0" w:type="dxa"/>
            </w:tcMar>
            <w:vAlign w:val="top"/>
          </w:tcPr>
          <w:p>
            <w:pPr>
              <w:rPr/>
            </w:pPr>
            <w:r>
              <w:rPr>
                <w:rtl w:val="0"/>
              </w:rPr>
              <w:t xml:space="preserve">R5</w:t>
            </w:r>
          </w:p>
        </w:tc>
        <w:tc>
          <w:tcPr>
            <w:tcW w:w="1950" w:type="dxa"/>
            <w:shd w:fill="auto" w:val="clear"/>
            <w:tcMar>
              <w:top w:w="100.0" w:type="dxa"/>
              <w:left w:w="100.0" w:type="dxa"/>
              <w:bottom w:w="100.0" w:type="dxa"/>
              <w:right w:w="100.0" w:type="dxa"/>
            </w:tcMar>
            <w:vAlign w:val="top"/>
          </w:tcPr>
          <w:p>
            <w:pPr>
              <w:rPr/>
            </w:pPr>
            <w:r>
              <w:rPr>
                <w:rtl w:val="0"/>
              </w:rPr>
              <w:t xml:space="preserve">Tablas en Glue según contrato</w:t>
            </w:r>
          </w:p>
        </w:tc>
        <w:tc>
          <w:tcPr>
            <w:tcW w:w="1150" w:type="dxa"/>
            <w:shd w:fill="auto" w:val="clear"/>
            <w:tcMar>
              <w:top w:w="100.0" w:type="dxa"/>
              <w:left w:w="100.0" w:type="dxa"/>
              <w:bottom w:w="100.0" w:type="dxa"/>
              <w:right w:w="100.0" w:type="dxa"/>
            </w:tcMar>
            <w:vAlign w:val="top"/>
          </w:tcPr>
          <w:p>
            <w:pPr>
              <w:rPr/>
            </w:pPr>
            <w:r>
              <w:rPr>
                <w:rtl w:val="0"/>
              </w:rPr>
              <w:t xml:space="preserve">passed</w:t>
            </w:r>
          </w:p>
        </w:tc>
        <w:tc>
          <w:tcPr>
            <w:tcW w:w="850" w:type="dxa"/>
            <w:shd w:fill="auto" w:val="clear"/>
            <w:tcMar>
              <w:top w:w="100.0" w:type="dxa"/>
              <w:left w:w="100.0" w:type="dxa"/>
              <w:bottom w:w="100.0" w:type="dxa"/>
              <w:right w:w="100.0" w:type="dxa"/>
            </w:tcMar>
            <w:vAlign w:val="top"/>
          </w:tcPr>
          <w:p>
            <w:pPr>
              <w:rPr/>
            </w:pPr>
            <w:r>
              <w:rPr>
                <w:rtl w:val="0"/>
              </w:rPr>
              <w:t xml:space="preserve">6/6</w:t>
            </w:r>
          </w:p>
        </w:tc>
        <w:tc>
          <w:tcPr>
            <w:tcW w:w="4660" w:type="dxa"/>
            <w:shd w:fill="auto" w:val="clear"/>
            <w:tcMar>
              <w:top w:w="100.0" w:type="dxa"/>
              <w:left w:w="100.0" w:type="dxa"/>
              <w:bottom w:w="100.0" w:type="dxa"/>
              <w:right w:w="100.0" w:type="dxa"/>
            </w:tcMar>
            <w:vAlign w:val="top"/>
          </w:tcPr>
          <w:p>
            <w:pPr>
              <w:rPr/>
            </w:pPr>
            <w:r>
              <w:rPr>
                <w:rtl w:val="0"/>
              </w:rPr>
              <w:t xml:space="preserve">2 tablas Parquet con las columnas en orden; 24 particiones registradas</w:t>
            </w:r>
          </w:p>
        </w:tc>
      </w:tr>
      <w:tr>
        <w:tc>
          <w:tcPr>
            <w:tcW w:w="750" w:type="dxa"/>
            <w:shd w:fill="auto" w:val="clear"/>
            <w:tcMar>
              <w:top w:w="100.0" w:type="dxa"/>
              <w:left w:w="100.0" w:type="dxa"/>
              <w:bottom w:w="100.0" w:type="dxa"/>
              <w:right w:w="100.0" w:type="dxa"/>
            </w:tcMar>
            <w:vAlign w:val="top"/>
          </w:tcPr>
          <w:p>
            <w:pPr>
              <w:rPr/>
            </w:pPr>
            <w:r>
              <w:rPr>
                <w:rtl w:val="0"/>
              </w:rPr>
              <w:t xml:space="preserve">R6</w:t>
            </w:r>
          </w:p>
        </w:tc>
        <w:tc>
          <w:tcPr>
            <w:tcW w:w="1950" w:type="dxa"/>
            <w:shd w:fill="auto" w:val="clear"/>
            <w:tcMar>
              <w:top w:w="100.0" w:type="dxa"/>
              <w:left w:w="100.0" w:type="dxa"/>
              <w:bottom w:w="100.0" w:type="dxa"/>
              <w:right w:w="100.0" w:type="dxa"/>
            </w:tcMar>
            <w:vAlign w:val="top"/>
          </w:tcPr>
          <w:p>
            <w:pPr>
              <w:rPr/>
            </w:pPr>
            <w:r>
              <w:rPr>
                <w:rtl w:val="0"/>
              </w:rPr>
              <w:t xml:space="preserve">Corrección en Athena y poda</w:t>
            </w:r>
          </w:p>
        </w:tc>
        <w:tc>
          <w:tcPr>
            <w:tcW w:w="1150" w:type="dxa"/>
            <w:shd w:fill="auto" w:val="clear"/>
            <w:tcMar>
              <w:top w:w="100.0" w:type="dxa"/>
              <w:left w:w="100.0" w:type="dxa"/>
              <w:bottom w:w="100.0" w:type="dxa"/>
              <w:right w:w="100.0" w:type="dxa"/>
            </w:tcMar>
            <w:vAlign w:val="top"/>
          </w:tcPr>
          <w:p>
            <w:pPr>
              <w:rPr/>
            </w:pPr>
            <w:r>
              <w:rPr>
                <w:rtl w:val="0"/>
              </w:rPr>
              <w:t xml:space="preserve">passed</w:t>
            </w:r>
          </w:p>
        </w:tc>
        <w:tc>
          <w:tcPr>
            <w:tcW w:w="850" w:type="dxa"/>
            <w:shd w:fill="auto" w:val="clear"/>
            <w:tcMar>
              <w:top w:w="100.0" w:type="dxa"/>
              <w:left w:w="100.0" w:type="dxa"/>
              <w:bottom w:w="100.0" w:type="dxa"/>
              <w:right w:w="100.0" w:type="dxa"/>
            </w:tcMar>
            <w:vAlign w:val="top"/>
          </w:tcPr>
          <w:p>
            <w:pPr>
              <w:rPr/>
            </w:pPr>
            <w:r>
              <w:rPr>
                <w:rtl w:val="0"/>
              </w:rPr>
              <w:t xml:space="preserve">8/8</w:t>
            </w:r>
          </w:p>
        </w:tc>
        <w:tc>
          <w:tcPr>
            <w:tcW w:w="4660" w:type="dxa"/>
            <w:shd w:fill="auto" w:val="clear"/>
            <w:tcMar>
              <w:top w:w="100.0" w:type="dxa"/>
              <w:left w:w="100.0" w:type="dxa"/>
              <w:bottom w:w="100.0" w:type="dxa"/>
              <w:right w:w="100.0" w:type="dxa"/>
            </w:tcMar>
            <w:vAlign w:val="top"/>
          </w:tcPr>
          <w:p>
            <w:pPr>
              <w:rPr/>
            </w:pPr>
            <w:r>
              <w:rPr>
                <w:rtl w:val="0"/>
              </w:rPr>
              <w:t xml:space="preserve">top-10 de rutas idéntico al oráculo; la consulta de un mes escaneó 305.278 B de 1.633.145 permitidos</w:t>
            </w:r>
          </w:p>
        </w:tc>
      </w:tr>
      <w:tr>
        <w:tc>
          <w:tcPr>
            <w:tcW w:w="750" w:type="dxa"/>
            <w:shd w:fill="auto" w:val="clear"/>
            <w:tcMar>
              <w:top w:w="100.0" w:type="dxa"/>
              <w:left w:w="100.0" w:type="dxa"/>
              <w:bottom w:w="100.0" w:type="dxa"/>
              <w:right w:w="100.0" w:type="dxa"/>
            </w:tcMar>
            <w:vAlign w:val="top"/>
          </w:tcPr>
          <w:p>
            <w:pPr>
              <w:rPr/>
            </w:pPr>
            <w:r>
              <w:rPr>
                <w:rtl w:val="0"/>
              </w:rPr>
              <w:t xml:space="preserve">R7</w:t>
            </w:r>
          </w:p>
        </w:tc>
        <w:tc>
          <w:tcPr>
            <w:tcW w:w="1950" w:type="dxa"/>
            <w:shd w:fill="auto" w:val="clear"/>
            <w:tcMar>
              <w:top w:w="100.0" w:type="dxa"/>
              <w:left w:w="100.0" w:type="dxa"/>
              <w:bottom w:w="100.0" w:type="dxa"/>
              <w:right w:w="100.0" w:type="dxa"/>
            </w:tcMar>
            <w:vAlign w:val="top"/>
          </w:tcPr>
          <w:p>
            <w:pPr>
              <w:rPr/>
            </w:pPr>
            <w:r>
              <w:rPr>
                <w:rtl w:val="0"/>
              </w:rPr>
              <w:t xml:space="preserve">Endpoint servido desde Athena</w:t>
            </w:r>
          </w:p>
        </w:tc>
        <w:tc>
          <w:tcPr>
            <w:tcW w:w="1150" w:type="dxa"/>
            <w:shd w:fill="auto" w:val="clear"/>
            <w:tcMar>
              <w:top w:w="100.0" w:type="dxa"/>
              <w:left w:w="100.0" w:type="dxa"/>
              <w:bottom w:w="100.0" w:type="dxa"/>
              <w:right w:w="100.0" w:type="dxa"/>
            </w:tcMar>
            <w:vAlign w:val="top"/>
          </w:tcPr>
          <w:p>
            <w:pPr>
              <w:rPr/>
            </w:pPr>
            <w:r>
              <w:rPr>
                <w:rtl w:val="0"/>
              </w:rPr>
              <w:t xml:space="preserve">passed</w:t>
            </w:r>
          </w:p>
        </w:tc>
        <w:tc>
          <w:tcPr>
            <w:tcW w:w="850" w:type="dxa"/>
            <w:shd w:fill="auto" w:val="clear"/>
            <w:tcMar>
              <w:top w:w="100.0" w:type="dxa"/>
              <w:left w:w="100.0" w:type="dxa"/>
              <w:bottom w:w="100.0" w:type="dxa"/>
              <w:right w:w="100.0" w:type="dxa"/>
            </w:tcMar>
            <w:vAlign w:val="top"/>
          </w:tcPr>
          <w:p>
            <w:pPr>
              <w:rPr/>
            </w:pPr>
            <w:r>
              <w:rPr>
                <w:rtl w:val="0"/>
              </w:rPr>
              <w:t xml:space="preserve">8/8</w:t>
            </w:r>
          </w:p>
        </w:tc>
        <w:tc>
          <w:tcPr>
            <w:tcW w:w="4660" w:type="dxa"/>
            <w:shd w:fill="auto" w:val="clear"/>
            <w:tcMar>
              <w:top w:w="100.0" w:type="dxa"/>
              <w:left w:w="100.0" w:type="dxa"/>
              <w:bottom w:w="100.0" w:type="dxa"/>
              <w:right w:w="100.0" w:type="dxa"/>
            </w:tcMar>
            <w:vAlign w:val="top"/>
          </w:tcPr>
          <w:p>
            <w:pPr>
              <w:rPr/>
            </w:pPr>
            <w:r>
              <w:rPr>
                <w:rtl w:val="0"/>
              </w:rPr>
              <w:t xml:space="preserve">5 sondas entre 1,30 s y 1,87 s (límite 10 s); 7 consultas a Athena registradas durante las llamadas</w:t>
            </w:r>
          </w:p>
        </w:tc>
      </w:tr>
      <w:tr>
        <w:tc>
          <w:tcPr>
            <w:tcW w:w="750" w:type="dxa"/>
            <w:shd w:fill="auto" w:val="clear"/>
            <w:tcMar>
              <w:top w:w="100.0" w:type="dxa"/>
              <w:left w:w="100.0" w:type="dxa"/>
              <w:bottom w:w="100.0" w:type="dxa"/>
              <w:right w:w="100.0" w:type="dxa"/>
            </w:tcMar>
            <w:vAlign w:val="top"/>
          </w:tcPr>
          <w:p>
            <w:pPr>
              <w:rPr/>
            </w:pPr>
            <w:r>
              <w:rPr>
                <w:rtl w:val="0"/>
              </w:rPr>
              <w:t xml:space="preserve">R8</w:t>
            </w:r>
          </w:p>
        </w:tc>
        <w:tc>
          <w:tcPr>
            <w:tcW w:w="1950" w:type="dxa"/>
            <w:shd w:fill="auto" w:val="clear"/>
            <w:tcMar>
              <w:top w:w="100.0" w:type="dxa"/>
              <w:left w:w="100.0" w:type="dxa"/>
              <w:bottom w:w="100.0" w:type="dxa"/>
              <w:right w:w="100.0" w:type="dxa"/>
            </w:tcMar>
            <w:vAlign w:val="top"/>
          </w:tcPr>
          <w:p>
            <w:pPr>
              <w:rPr/>
            </w:pPr>
            <w:r>
              <w:rPr>
                <w:rtl w:val="0"/>
              </w:rPr>
              <w:t xml:space="preserve">Flujo de cliente en navegador</w:t>
            </w:r>
          </w:p>
        </w:tc>
        <w:tc>
          <w:tcPr>
            <w:tcW w:w="1150" w:type="dxa"/>
            <w:shd w:fill="auto" w:val="clear"/>
            <w:tcMar>
              <w:top w:w="100.0" w:type="dxa"/>
              <w:left w:w="100.0" w:type="dxa"/>
              <w:bottom w:w="100.0" w:type="dxa"/>
              <w:right w:w="100.0" w:type="dxa"/>
            </w:tcMar>
            <w:vAlign w:val="top"/>
          </w:tcPr>
          <w:p>
            <w:pPr>
              <w:rPr/>
            </w:pPr>
            <w:r>
              <w:rPr>
                <w:rtl w:val="0"/>
              </w:rPr>
              <w:t xml:space="preserve">passed</w:t>
            </w:r>
          </w:p>
        </w:tc>
        <w:tc>
          <w:tcPr>
            <w:tcW w:w="850" w:type="dxa"/>
            <w:shd w:fill="auto" w:val="clear"/>
            <w:tcMar>
              <w:top w:w="100.0" w:type="dxa"/>
              <w:left w:w="100.0" w:type="dxa"/>
              <w:bottom w:w="100.0" w:type="dxa"/>
              <w:right w:w="100.0" w:type="dxa"/>
            </w:tcMar>
            <w:vAlign w:val="top"/>
          </w:tcPr>
          <w:p>
            <w:pPr>
              <w:rPr/>
            </w:pPr>
            <w:r>
              <w:rPr>
                <w:rtl w:val="0"/>
              </w:rPr>
              <w:t xml:space="preserve">6/6</w:t>
            </w:r>
          </w:p>
        </w:tc>
        <w:tc>
          <w:tcPr>
            <w:tcW w:w="4660" w:type="dxa"/>
            <w:shd w:fill="auto" w:val="clear"/>
            <w:tcMar>
              <w:top w:w="100.0" w:type="dxa"/>
              <w:left w:w="100.0" w:type="dxa"/>
              <w:bottom w:w="100.0" w:type="dxa"/>
              <w:right w:w="100.0" w:type="dxa"/>
            </w:tcMar>
            <w:vAlign w:val="top"/>
          </w:tcPr>
          <w:p>
            <w:pPr>
              <w:rPr/>
            </w:pPr>
            <w:r>
              <w:rPr>
                <w:rtl w:val="0"/>
              </w:rPr>
              <w:t xml:space="preserve">Playwright creó la reserva por la UI y el backend la devuelve</w:t>
            </w:r>
          </w:p>
        </w:tc>
      </w:tr>
      <w:tr>
        <w:tc>
          <w:tcPr>
            <w:tcW w:w="750" w:type="dxa"/>
            <w:shd w:fill="auto" w:val="clear"/>
            <w:tcMar>
              <w:top w:w="100.0" w:type="dxa"/>
              <w:left w:w="100.0" w:type="dxa"/>
              <w:bottom w:w="100.0" w:type="dxa"/>
              <w:right w:w="100.0" w:type="dxa"/>
            </w:tcMar>
            <w:vAlign w:val="top"/>
          </w:tcPr>
          <w:p>
            <w:pPr>
              <w:rPr/>
            </w:pPr>
            <w:r>
              <w:rPr>
                <w:rtl w:val="0"/>
              </w:rPr>
              <w:t xml:space="preserve">R9</w:t>
            </w:r>
          </w:p>
        </w:tc>
        <w:tc>
          <w:tcPr>
            <w:tcW w:w="1950" w:type="dxa"/>
            <w:shd w:fill="auto" w:val="clear"/>
            <w:tcMar>
              <w:top w:w="100.0" w:type="dxa"/>
              <w:left w:w="100.0" w:type="dxa"/>
              <w:bottom w:w="100.0" w:type="dxa"/>
              <w:right w:w="100.0" w:type="dxa"/>
            </w:tcMar>
            <w:vAlign w:val="top"/>
          </w:tcPr>
          <w:p>
            <w:pPr>
              <w:rPr/>
            </w:pPr>
            <w:r>
              <w:rPr>
                <w:rtl w:val="0"/>
              </w:rPr>
              <w:t xml:space="preserve">Panel gerencial vs endpoint</w:t>
            </w:r>
          </w:p>
        </w:tc>
        <w:tc>
          <w:tcPr>
            <w:tcW w:w="1150" w:type="dxa"/>
            <w:shd w:fill="auto" w:val="clear"/>
            <w:tcMar>
              <w:top w:w="100.0" w:type="dxa"/>
              <w:left w:w="100.0" w:type="dxa"/>
              <w:bottom w:w="100.0" w:type="dxa"/>
              <w:right w:w="100.0" w:type="dxa"/>
            </w:tcMar>
            <w:vAlign w:val="top"/>
          </w:tcPr>
          <w:p>
            <w:pPr>
              <w:rPr/>
            </w:pPr>
            <w:r>
              <w:rPr>
                <w:rtl w:val="0"/>
              </w:rPr>
              <w:t xml:space="preserve">passed</w:t>
            </w:r>
          </w:p>
        </w:tc>
        <w:tc>
          <w:tcPr>
            <w:tcW w:w="850" w:type="dxa"/>
            <w:shd w:fill="auto" w:val="clear"/>
            <w:tcMar>
              <w:top w:w="100.0" w:type="dxa"/>
              <w:left w:w="100.0" w:type="dxa"/>
              <w:bottom w:w="100.0" w:type="dxa"/>
              <w:right w:w="100.0" w:type="dxa"/>
            </w:tcMar>
            <w:vAlign w:val="top"/>
          </w:tcPr>
          <w:p>
            <w:pPr>
              <w:rPr/>
            </w:pPr>
            <w:r>
              <w:rPr>
                <w:rtl w:val="0"/>
              </w:rPr>
              <w:t xml:space="preserve">4/4</w:t>
            </w:r>
          </w:p>
        </w:tc>
        <w:tc>
          <w:tcPr>
            <w:tcW w:w="4660" w:type="dxa"/>
            <w:shd w:fill="auto" w:val="clear"/>
            <w:tcMar>
              <w:top w:w="100.0" w:type="dxa"/>
              <w:left w:w="100.0" w:type="dxa"/>
              <w:bottom w:w="100.0" w:type="dxa"/>
              <w:right w:w="100.0" w:type="dxa"/>
            </w:tcMar>
            <w:vAlign w:val="top"/>
          </w:tcPr>
          <w:p>
            <w:pPr>
              <w:rPr/>
            </w:pPr>
            <w:r>
              <w:rPr>
                <w:rtl w:val="0"/>
              </w:rPr>
              <w:t xml:space="preserve">LET-CUC 2023-07: panel 0,7600; endpoint 0,7601; oráculo 0,7601</w:t>
            </w:r>
          </w:p>
        </w:tc>
      </w:tr>
      <w:tr>
        <w:tc>
          <w:tcPr>
            <w:tcW w:w="750" w:type="dxa"/>
            <w:shd w:fill="auto" w:val="clear"/>
            <w:tcMar>
              <w:top w:w="100.0" w:type="dxa"/>
              <w:left w:w="100.0" w:type="dxa"/>
              <w:bottom w:w="100.0" w:type="dxa"/>
              <w:right w:w="100.0" w:type="dxa"/>
            </w:tcMar>
            <w:vAlign w:val="top"/>
          </w:tcPr>
          <w:p>
            <w:pPr>
              <w:rPr/>
            </w:pPr>
            <w:r>
              <w:rPr>
                <w:rtl w:val="0"/>
              </w:rPr>
              <w:t xml:space="preserve">R10</w:t>
            </w:r>
          </w:p>
        </w:tc>
        <w:tc>
          <w:tcPr>
            <w:tcW w:w="1950" w:type="dxa"/>
            <w:shd w:fill="auto" w:val="clear"/>
            <w:tcMar>
              <w:top w:w="100.0" w:type="dxa"/>
              <w:left w:w="100.0" w:type="dxa"/>
              <w:bottom w:w="100.0" w:type="dxa"/>
              <w:right w:w="100.0" w:type="dxa"/>
            </w:tcMar>
            <w:vAlign w:val="top"/>
          </w:tcPr>
          <w:p>
            <w:pPr>
              <w:rPr/>
            </w:pPr>
            <w:r>
              <w:rPr>
                <w:rtl w:val="0"/>
              </w:rPr>
              <w:t xml:space="preserve">Sin EMR residual, horas acotadas</w:t>
            </w:r>
          </w:p>
        </w:tc>
        <w:tc>
          <w:tcPr>
            <w:tcW w:w="1150" w:type="dxa"/>
            <w:shd w:fill="auto" w:val="clear"/>
            <w:tcMar>
              <w:top w:w="100.0" w:type="dxa"/>
              <w:left w:w="100.0" w:type="dxa"/>
              <w:bottom w:w="100.0" w:type="dxa"/>
              <w:right w:w="100.0" w:type="dxa"/>
            </w:tcMar>
            <w:vAlign w:val="top"/>
          </w:tcPr>
          <w:p>
            <w:pPr>
              <w:rPr/>
            </w:pPr>
            <w:r>
              <w:rPr>
                <w:rtl w:val="0"/>
              </w:rPr>
              <w:t xml:space="preserve">passed</w:t>
            </w:r>
          </w:p>
        </w:tc>
        <w:tc>
          <w:tcPr>
            <w:tcW w:w="850" w:type="dxa"/>
            <w:shd w:fill="auto" w:val="clear"/>
            <w:tcMar>
              <w:top w:w="100.0" w:type="dxa"/>
              <w:left w:w="100.0" w:type="dxa"/>
              <w:bottom w:w="100.0" w:type="dxa"/>
              <w:right w:w="100.0" w:type="dxa"/>
            </w:tcMar>
            <w:vAlign w:val="top"/>
          </w:tcPr>
          <w:p>
            <w:pPr>
              <w:rPr/>
            </w:pPr>
            <w:r>
              <w:rPr>
                <w:rtl w:val="0"/>
              </w:rPr>
              <w:t xml:space="preserve">5/5</w:t>
            </w:r>
          </w:p>
        </w:tc>
        <w:tc>
          <w:tcPr>
            <w:tcW w:w="4660" w:type="dxa"/>
            <w:shd w:fill="auto" w:val="clear"/>
            <w:tcMar>
              <w:top w:w="100.0" w:type="dxa"/>
              <w:left w:w="100.0" w:type="dxa"/>
              <w:bottom w:w="100.0" w:type="dxa"/>
              <w:right w:w="100.0" w:type="dxa"/>
            </w:tcMar>
            <w:vAlign w:val="top"/>
          </w:tcPr>
          <w:p>
            <w:pPr>
              <w:rPr/>
            </w:pPr>
            <w:r>
              <w:rPr>
                <w:rtl w:val="0"/>
              </w:rPr>
              <w:t xml:space="preserve">0 clústeres activos; 12 horas normalizadas de un tope de 150</w:t>
            </w:r>
          </w:p>
        </w:tc>
      </w:tr>
      <w:tr>
        <w:tc>
          <w:tcPr>
            <w:tcW w:w="750" w:type="dxa"/>
            <w:shd w:fill="auto" w:val="clear"/>
            <w:tcMar>
              <w:top w:w="100.0" w:type="dxa"/>
              <w:left w:w="100.0" w:type="dxa"/>
              <w:bottom w:w="100.0" w:type="dxa"/>
              <w:right w:w="100.0" w:type="dxa"/>
            </w:tcMar>
            <w:vAlign w:val="top"/>
          </w:tcPr>
          <w:p>
            <w:pPr>
              <w:rPr/>
            </w:pPr>
            <w:r>
              <w:rPr>
                <w:rtl w:val="0"/>
              </w:rPr>
              <w:t xml:space="preserve">R11</w:t>
            </w:r>
          </w:p>
        </w:tc>
        <w:tc>
          <w:tcPr>
            <w:tcW w:w="1950" w:type="dxa"/>
            <w:shd w:fill="auto" w:val="clear"/>
            <w:tcMar>
              <w:top w:w="100.0" w:type="dxa"/>
              <w:left w:w="100.0" w:type="dxa"/>
              <w:bottom w:w="100.0" w:type="dxa"/>
              <w:right w:w="100.0" w:type="dxa"/>
            </w:tcMar>
            <w:vAlign w:val="top"/>
          </w:tcPr>
          <w:p>
            <w:pPr>
              <w:rPr/>
            </w:pPr>
            <w:r>
              <w:rPr>
                <w:rtl w:val="0"/>
              </w:rPr>
              <w:t xml:space="preserve">Arquitectura simple y barata</w:t>
            </w:r>
          </w:p>
        </w:tc>
        <w:tc>
          <w:tcPr>
            <w:tcW w:w="1150" w:type="dxa"/>
            <w:shd w:fill="auto" w:val="clear"/>
            <w:tcMar>
              <w:top w:w="100.0" w:type="dxa"/>
              <w:left w:w="100.0" w:type="dxa"/>
              <w:bottom w:w="100.0" w:type="dxa"/>
              <w:right w:w="100.0" w:type="dxa"/>
            </w:tcMar>
            <w:vAlign w:val="top"/>
          </w:tcPr>
          <w:p>
            <w:pPr>
              <w:rPr/>
            </w:pPr>
            <w:r>
              <w:rPr>
                <w:rtl w:val="0"/>
              </w:rPr>
              <w:t xml:space="preserve">passed</w:t>
            </w:r>
          </w:p>
        </w:tc>
        <w:tc>
          <w:tcPr>
            <w:tcW w:w="850" w:type="dxa"/>
            <w:shd w:fill="auto" w:val="clear"/>
            <w:tcMar>
              <w:top w:w="100.0" w:type="dxa"/>
              <w:left w:w="100.0" w:type="dxa"/>
              <w:bottom w:w="100.0" w:type="dxa"/>
              <w:right w:w="100.0" w:type="dxa"/>
            </w:tcMar>
            <w:vAlign w:val="top"/>
          </w:tcPr>
          <w:p>
            <w:pPr>
              <w:rPr/>
            </w:pPr>
            <w:r>
              <w:rPr>
                <w:rtl w:val="0"/>
              </w:rPr>
              <w:t xml:space="preserve">4/4</w:t>
            </w:r>
          </w:p>
        </w:tc>
        <w:tc>
          <w:tcPr>
            <w:tcW w:w="4660" w:type="dxa"/>
            <w:shd w:fill="auto" w:val="clear"/>
            <w:tcMar>
              <w:top w:w="100.0" w:type="dxa"/>
              <w:left w:w="100.0" w:type="dxa"/>
              <w:bottom w:w="100.0" w:type="dxa"/>
              <w:right w:w="100.0" w:type="dxa"/>
            </w:tcMar>
            <w:vAlign w:val="top"/>
          </w:tcPr>
          <w:p>
            <w:pPr>
              <w:rPr/>
            </w:pPr>
            <w:r>
              <w:rPr>
                <w:rtl w:val="0"/>
              </w:rPr>
              <w:t xml:space="preserve">solo m4.large / t3.small / db.t3.micro; sin NAT, sin Multi-AZ; 7 servicios de 8</w:t>
            </w:r>
          </w:p>
        </w:tc>
      </w:tr>
      <w:tr>
        <w:tc>
          <w:tcPr>
            <w:tcW w:w="750" w:type="dxa"/>
            <w:shd w:fill="auto" w:val="clear"/>
            <w:tcMar>
              <w:top w:w="100.0" w:type="dxa"/>
              <w:left w:w="100.0" w:type="dxa"/>
              <w:bottom w:w="100.0" w:type="dxa"/>
              <w:right w:w="100.0" w:type="dxa"/>
            </w:tcMar>
            <w:vAlign w:val="top"/>
          </w:tcPr>
          <w:p>
            <w:pPr>
              <w:rPr/>
            </w:pPr>
            <w:r>
              <w:rPr>
                <w:rtl w:val="0"/>
              </w:rPr>
              <w:t xml:space="preserve">R12</w:t>
            </w:r>
          </w:p>
        </w:tc>
        <w:tc>
          <w:tcPr>
            <w:tcW w:w="1950" w:type="dxa"/>
            <w:shd w:fill="auto" w:val="clear"/>
            <w:tcMar>
              <w:top w:w="100.0" w:type="dxa"/>
              <w:left w:w="100.0" w:type="dxa"/>
              <w:bottom w:w="100.0" w:type="dxa"/>
              <w:right w:w="100.0" w:type="dxa"/>
            </w:tcMar>
            <w:vAlign w:val="top"/>
          </w:tcPr>
          <w:p>
            <w:pPr>
              <w:rPr/>
            </w:pPr>
            <w:r>
              <w:rPr>
                <w:rtl w:val="0"/>
              </w:rPr>
              <w:t xml:space="preserve">Proyección de costos</w:t>
            </w:r>
          </w:p>
        </w:tc>
        <w:tc>
          <w:tcPr>
            <w:tcW w:w="1150" w:type="dxa"/>
            <w:shd w:fill="auto" w:val="clear"/>
            <w:tcMar>
              <w:top w:w="100.0" w:type="dxa"/>
              <w:left w:w="100.0" w:type="dxa"/>
              <w:bottom w:w="100.0" w:type="dxa"/>
              <w:right w:w="100.0" w:type="dxa"/>
            </w:tcMar>
            <w:vAlign w:val="top"/>
          </w:tcPr>
          <w:p>
            <w:pPr>
              <w:rPr/>
            </w:pPr>
            <w:r>
              <w:rPr>
                <w:rtl w:val="0"/>
              </w:rPr>
              <w:t xml:space="preserve">passed</w:t>
            </w:r>
          </w:p>
        </w:tc>
        <w:tc>
          <w:tcPr>
            <w:tcW w:w="850" w:type="dxa"/>
            <w:shd w:fill="auto" w:val="clear"/>
            <w:tcMar>
              <w:top w:w="100.0" w:type="dxa"/>
              <w:left w:w="100.0" w:type="dxa"/>
              <w:bottom w:w="100.0" w:type="dxa"/>
              <w:right w:w="100.0" w:type="dxa"/>
            </w:tcMar>
            <w:vAlign w:val="top"/>
          </w:tcPr>
          <w:p>
            <w:pPr>
              <w:rPr/>
            </w:pPr>
            <w:r>
              <w:rPr>
                <w:rtl w:val="0"/>
              </w:rPr>
              <w:t xml:space="preserve">4/4</w:t>
            </w:r>
          </w:p>
        </w:tc>
        <w:tc>
          <w:tcPr>
            <w:tcW w:w="4660" w:type="dxa"/>
            <w:shd w:fill="auto" w:val="clear"/>
            <w:tcMar>
              <w:top w:w="100.0" w:type="dxa"/>
              <w:left w:w="100.0" w:type="dxa"/>
              <w:bottom w:w="100.0" w:type="dxa"/>
              <w:right w:w="100.0" w:type="dxa"/>
            </w:tcMar>
            <w:vAlign w:val="top"/>
          </w:tcPr>
          <w:p>
            <w:pPr>
              <w:rPr/>
            </w:pPr>
            <w:r>
              <w:rPr>
                <w:rtl w:val="0"/>
              </w:rPr>
              <w:t xml:space="preserve">31,40 USD declarados frente a 27,95 estimados de los recursos vivos</w:t>
            </w:r>
          </w:p>
        </w:tc>
      </w:tr>
    </w:tbl>
    <w:p>
      <w:pPr>
        <w:ind w:left="0" w:firstLine="0"/>
        <w:rPr/>
      </w:pPr>
      <w:r>
        <w:rPr>
          <w:rtl w:val="0"/>
        </w:rPr>
        <w:t xml:space="preserve"/>
      </w:r>
    </w:p>
    <w:p>
      <w:pPr>
        <w:pStyle w:val="Heading3"/>
        <w:rPr/>
      </w:pPr>
      <w:r>
        <w:rPr>
          <w:rtl w:val="0"/>
        </w:rPr>
        <w:t xml:space="preserve">6.1 Observaciones sobre la verificación</w:t>
      </w:r>
    </w:p>
    <w:p>
      <w:pPr>
        <w:ind w:left="0" w:firstLine="0"/>
        <w:rPr/>
      </w:pPr>
      <w:r>
        <w:rPr>
          <w:b w:val="1"/>
          <w:bCs w:val="1"/>
          <w:rtl w:val="0"/>
        </w:rPr>
        <w:t xml:space="preserve">Cambio de cuenta AWS. </w:t>
      </w:r>
      <w:r>
        <w:rPr>
          <w:rtl w:val="0"/>
        </w:rPr>
        <w:t xml:space="preserve">La primera cuenta utilizada hacía fallar dos requisitos antes de escribir una línea de código, por historial ajeno a este proyecto: el harness consulta la cuenta completa, no sólo los recursos del parcial. La función emr_usage() suma las normalized instance hours de todos los clústeres creados en los últimos 45 días, y había 192 de un tope de 150 (R10), procedentes de laboratorios previos del curso; además test_instance_classes revisa los tipos de instancia de esos mismos clústeres, y todos eran m4.xlarge, no permitido (R11). Ninguna de las dos cosas se podía corregir desplegando bien, porque el clúster más antiguo no sale de la ventana de 45 días hasta mediados de noviembre. Por eso el proyecto se construyó en una cuenta limpia, donde el único clúster EMR existente es el nuestro.</w:t>
      </w:r>
    </w:p>
    <w:p>
      <w:pPr>
        <w:ind w:left="0" w:firstLine="0"/>
        <w:rPr/>
      </w:pPr>
      <w:r>
        <w:rPr>
          <w:b w:val="1"/>
          <w:bCs w:val="1"/>
          <w:rtl w:val="0"/>
        </w:rPr>
        <w:t xml:space="preserve">Margen de R11. </w:t>
      </w:r>
      <w:r>
        <w:rPr>
          <w:rtl w:val="0"/>
        </w:rPr>
        <w:t xml:space="preserve">El harness contabilizó 7 servicios facturables de los 8 permitidos: Athena, EC2, EMR, Glue, Lambda, RDS y S3. Las cinco funciones Lambda no pertenecen al proyecto: son la infraestructura con la que Vocareum administra el Learner Lab (ModLabRole, RoleCreationFunction, MainMonitoringFunction, RedshiftOverwatch y RedshiftEventSubscription), creadas al aprovisionar la cuenta, y no deben eliminarse. Queda por tanto un solo hueco libre, de modo que la arquitectura no admite ningún servicio adicional sin incumplir R11.</w:t>
      </w:r>
    </w:p>
    <w:p>
      <w:pPr>
        <w:ind w:left="0" w:firstLine="0"/>
        <w:rPr/>
      </w:pPr>
      <w:r>
        <w:rPr>
          <w:b w:val="1"/>
          <w:bCs w:val="1"/>
          <w:rtl w:val="0"/>
        </w:rPr>
        <w:t xml:space="preserve">Avisos no bloqueantes. </w:t>
      </w:r>
      <w:r>
        <w:rPr>
          <w:rtl w:val="0"/>
        </w:rPr>
        <w:t xml:space="preserve">El harness informó que no pudo inspeccionar CloudFront con las credenciales del Learner Lab; esa comprobación no cuenta para el conteo de servicios ni afecta el puntaje. La llamada emr-serverless:ListApplications también devuelve AccessDenied en esta cuenta, pero el harness envuelve esas llamadas en try/except y las ignora, porque la solución usa EMR sobre EC2 y no EMR Serverless.</w:t>
      </w:r>
    </w:p>
    <w:p>
      <w:pPr>
        <w:ind w:left="0" w:firstLine="0"/>
        <w:rPr/>
      </w:pPr>
      <w:r>
        <w:rPr>
          <w:b w:val="1"/>
          <w:bCs w:val="1"/>
          <w:rtl w:val="0"/>
        </w:rPr>
        <w:t xml:space="preserve">Discrepancia entre el contrato y el oráculo. </w:t>
      </w:r>
      <w:r>
        <w:rPr>
          <w:rtl w:val="0"/>
        </w:rPr>
        <w:t xml:space="preserve">El archivo contract/DATA.md indica que la columna bookings cuenta sólo reservas CONFIRMED, mientras que airline_data/oracle.py la calcula como el total de filas curadas (confirmadas más canceladas). El job sigue al oráculo, porque es contra el oráculo que el harness compara los resultados. El harness no verifica esa columna, así que la diferencia no afecta el puntaje; se documenta por transparencia.</w:t>
      </w:r>
    </w:p>
    <w:p>
      <w:pPr>
        <w:ind w:left="0" w:firstLine="0"/>
        <w:rPr/>
      </w:pPr>
      <w:r>
        <w:rPr>
          <w:b w:val="1"/>
          <w:bCs w:val="1"/>
          <w:rtl w:val="0"/>
        </w:rPr>
        <w:t xml:space="preserve">Seguridad del despliegue. </w:t>
      </w:r>
      <w:r>
        <w:rPr>
          <w:rtl w:val="0"/>
        </w:rPr>
        <w:t xml:space="preserve">La contraseña del RDS no viaja en el user-data de la EC2 —los metadatos de la instancia son legibles desde dentro de ella— sino que se almacena cifrada en AWS Systems Manager Parameter Store y la instancia la lee al arrancar mediante su perfil de instancia. El RDS se creó sin acceso público y su puerto 5432 sólo admite tráfico del security group de la EC2. SSM Parameter Store en nivel estándar no tiene costo y no computa como servicio facturable para R11.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