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29B" w:rsidRPr="00533AC3" w:rsidRDefault="009A629B" w:rsidP="009A629B">
      <w:pPr>
        <w:pStyle w:val="Titre"/>
        <w:rPr>
          <w:sz w:val="44"/>
          <w:szCs w:val="44"/>
        </w:rPr>
      </w:pPr>
      <w:bookmarkStart w:id="0" w:name="_Hlk488166607"/>
      <w:r w:rsidRPr="00533AC3">
        <w:rPr>
          <w:sz w:val="44"/>
          <w:szCs w:val="44"/>
        </w:rPr>
        <w:t>Introduction</w:t>
      </w:r>
    </w:p>
    <w:bookmarkEnd w:id="0"/>
    <w:p w:rsidR="009A629B" w:rsidRPr="00533AC3" w:rsidRDefault="009A629B" w:rsidP="009A629B">
      <w:pPr>
        <w:spacing w:after="0"/>
        <w:jc w:val="both"/>
      </w:pPr>
    </w:p>
    <w:p w:rsidR="000276A7" w:rsidRDefault="008A65C1" w:rsidP="00E3299E">
      <w:pPr>
        <w:spacing w:after="0"/>
        <w:jc w:val="both"/>
        <w:rPr>
          <w:noProof/>
          <w:lang w:eastAsia="fr-CH"/>
        </w:rPr>
      </w:pPr>
      <w:r>
        <w:rPr>
          <w:noProof/>
          <w:lang w:eastAsia="fr-CH"/>
        </w:rPr>
        <w:t xml:space="preserve">La </w:t>
      </w:r>
      <w:r w:rsidR="00E3299E">
        <w:rPr>
          <w:noProof/>
          <w:lang w:eastAsia="fr-CH"/>
        </w:rPr>
        <w:t>phénolphtaléine est un indicateur coloré, c’est-à-dire un composé qui change de couleur selon le pH de son environnement, qui se décolore lentement en milieu très basique ( pH &gt;12)</w:t>
      </w:r>
      <w:r w:rsidR="000276A7">
        <w:rPr>
          <w:noProof/>
          <w:lang w:eastAsia="fr-CH"/>
        </w:rPr>
        <w:t xml:space="preserve"> selon la réaction </w:t>
      </w:r>
      <m:oMath>
        <m:sSup>
          <m:sSupPr>
            <m:ctrlPr>
              <w:rPr>
                <w:rFonts w:ascii="Cambria Math" w:hAnsi="Cambria Math"/>
                <w:i/>
                <w:noProof/>
                <w:lang w:eastAsia="fr-CH"/>
              </w:rPr>
            </m:ctrlPr>
          </m:sSupPr>
          <m:e>
            <m:r>
              <w:rPr>
                <w:rFonts w:ascii="Cambria Math" w:hAnsi="Cambria Math"/>
                <w:noProof/>
                <w:lang w:eastAsia="fr-CH"/>
              </w:rPr>
              <m:t>P</m:t>
            </m:r>
          </m:e>
          <m:sup>
            <m:r>
              <w:rPr>
                <w:rFonts w:ascii="Cambria Math" w:hAnsi="Cambria Math"/>
                <w:noProof/>
                <w:lang w:eastAsia="fr-CH"/>
              </w:rPr>
              <m:t>2-</m:t>
            </m:r>
          </m:sup>
        </m:sSup>
        <m:r>
          <w:rPr>
            <w:rFonts w:ascii="Cambria Math" w:hAnsi="Cambria Math"/>
            <w:noProof/>
            <w:lang w:eastAsia="fr-CH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  <w:lang w:eastAsia="fr-CH"/>
              </w:rPr>
            </m:ctrlPr>
          </m:sSupPr>
          <m:e>
            <m:r>
              <w:rPr>
                <w:rFonts w:ascii="Cambria Math" w:hAnsi="Cambria Math"/>
                <w:noProof/>
                <w:lang w:eastAsia="fr-CH"/>
              </w:rPr>
              <m:t>OH</m:t>
            </m:r>
          </m:e>
          <m:sup>
            <m:r>
              <w:rPr>
                <w:rFonts w:ascii="Cambria Math" w:hAnsi="Cambria Math"/>
                <w:noProof/>
                <w:lang w:eastAsia="fr-CH"/>
              </w:rPr>
              <m:t>-</m:t>
            </m:r>
          </m:sup>
        </m:sSup>
        <m:r>
          <w:rPr>
            <w:rFonts w:ascii="Cambria Math" w:hAnsi="Cambria Math"/>
            <w:noProof/>
            <w:lang w:eastAsia="fr-C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  <w:noProof/>
                <w:lang w:eastAsia="fr-CH"/>
              </w:rPr>
            </m:ctrlPr>
          </m:sSupPr>
          <m:e>
            <m:r>
              <w:rPr>
                <w:rFonts w:ascii="Cambria Math" w:hAnsi="Cambria Math"/>
                <w:noProof/>
                <w:lang w:eastAsia="fr-CH"/>
              </w:rPr>
              <m:t>POH</m:t>
            </m:r>
          </m:e>
          <m:sup>
            <m:r>
              <w:rPr>
                <w:rFonts w:ascii="Cambria Math" w:hAnsi="Cambria Math"/>
                <w:noProof/>
                <w:lang w:eastAsia="fr-CH"/>
              </w:rPr>
              <m:t>3-</m:t>
            </m:r>
          </m:sup>
        </m:sSup>
      </m:oMath>
      <w:r w:rsidR="00E3299E">
        <w:rPr>
          <w:noProof/>
          <w:lang w:eastAsia="fr-CH"/>
        </w:rPr>
        <w:t xml:space="preserve">. </w:t>
      </w:r>
    </w:p>
    <w:p w:rsidR="0078377B" w:rsidRDefault="00E3299E" w:rsidP="00E3299E">
      <w:pPr>
        <w:spacing w:after="0"/>
        <w:jc w:val="both"/>
        <w:rPr>
          <w:rFonts w:eastAsiaTheme="minorEastAsia"/>
          <w:noProof/>
          <w:lang w:eastAsia="fr-CH"/>
        </w:rPr>
      </w:pPr>
      <w:r>
        <w:rPr>
          <w:noProof/>
          <w:lang w:eastAsia="fr-CH"/>
        </w:rPr>
        <w:t>On propose ici</w:t>
      </w:r>
      <w:r w:rsidR="005D2691">
        <w:rPr>
          <w:noProof/>
          <w:lang w:eastAsia="fr-CH"/>
        </w:rPr>
        <w:t xml:space="preserve"> de vérifier</w:t>
      </w:r>
      <w:r>
        <w:rPr>
          <w:noProof/>
          <w:lang w:eastAsia="fr-CH"/>
        </w:rPr>
        <w:t xml:space="preserve"> que la loi qui régit cette réaction </w:t>
      </w:r>
      <m:oMath>
        <m:r>
          <w:rPr>
            <w:rFonts w:ascii="Cambria Math" w:hAnsi="Cambria Math"/>
            <w:noProof/>
            <w:lang w:eastAsia="fr-CH"/>
          </w:rPr>
          <m:t>v=</m:t>
        </m:r>
        <m:sSub>
          <m:sSubPr>
            <m:ctrlPr>
              <w:rPr>
                <w:rFonts w:ascii="Cambria Math" w:hAnsi="Cambria Math"/>
                <w:noProof/>
                <w:lang w:eastAsia="fr-CH"/>
              </w:rPr>
            </m:ctrlPr>
          </m:sSubPr>
          <m:e>
            <m:r>
              <w:rPr>
                <w:rFonts w:ascii="Cambria Math" w:hAnsi="Cambria Math"/>
                <w:noProof/>
                <w:lang w:eastAsia="fr-CH"/>
              </w:rPr>
              <m:t>k</m:t>
            </m:r>
          </m:e>
          <m:sub>
            <m:r>
              <w:rPr>
                <w:rFonts w:ascii="Cambria Math" w:hAnsi="Cambria Math"/>
                <w:noProof/>
                <w:lang w:eastAsia="fr-C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noProof/>
                <w:lang w:eastAsia="fr-C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  <w:lang w:eastAsia="fr-C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lang w:eastAsia="fr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lang w:eastAsia="fr-C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lang w:eastAsia="fr-CH"/>
                      </w:rPr>
                      <m:t>2-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noProof/>
                <w:lang w:eastAsia="fr-C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  <w:lang w:eastAsia="fr-CH"/>
              </w:rPr>
            </m:ctrlPr>
          </m:sSupPr>
          <m:e>
            <m:r>
              <w:rPr>
                <w:rFonts w:ascii="Cambria Math" w:hAnsi="Cambria Math"/>
                <w:noProof/>
                <w:lang w:eastAsia="fr-CH"/>
              </w:rPr>
              <m:t>[NaOH]</m:t>
            </m:r>
          </m:e>
          <m:sup>
            <m:r>
              <w:rPr>
                <w:rFonts w:ascii="Cambria Math" w:hAnsi="Cambria Math"/>
                <w:noProof/>
                <w:lang w:eastAsia="fr-CH"/>
              </w:rPr>
              <m:t>n</m:t>
            </m:r>
          </m:sup>
        </m:sSup>
      </m:oMath>
      <w:r>
        <w:rPr>
          <w:noProof/>
          <w:lang w:eastAsia="fr-CH"/>
        </w:rPr>
        <w:t xml:space="preserve"> est bien d’ordre 1 par rapport aux 2 réactifs, c’est-à-dire </w:t>
      </w:r>
      <m:oMath>
        <m:r>
          <w:rPr>
            <w:rFonts w:ascii="Cambria Math" w:hAnsi="Cambria Math"/>
            <w:noProof/>
            <w:lang w:eastAsia="fr-CH"/>
          </w:rPr>
          <m:t>m=n=1</m:t>
        </m:r>
      </m:oMath>
      <w:r w:rsidR="000276A7">
        <w:rPr>
          <w:rFonts w:eastAsiaTheme="minorEastAsia"/>
          <w:noProof/>
          <w:lang w:eastAsia="fr-CH"/>
        </w:rPr>
        <w:t>.</w:t>
      </w:r>
      <w:bookmarkStart w:id="1" w:name="_GoBack"/>
      <w:bookmarkEnd w:id="1"/>
    </w:p>
    <w:p w:rsidR="000276A7" w:rsidRDefault="000276A7" w:rsidP="00E3299E">
      <w:pPr>
        <w:spacing w:after="0"/>
        <w:jc w:val="both"/>
        <w:rPr>
          <w:rFonts w:eastAsiaTheme="minorEastAsia"/>
          <w:noProof/>
          <w:lang w:eastAsia="fr-CH"/>
        </w:rPr>
      </w:pPr>
      <w:r>
        <w:rPr>
          <w:rFonts w:eastAsiaTheme="minorEastAsia"/>
          <w:noProof/>
          <w:lang w:eastAsia="fr-CH"/>
        </w:rPr>
        <w:t xml:space="preserve">Dans un milieu très basique, on note que la concentration de </w:t>
      </w:r>
      <m:oMath>
        <m:sSup>
          <m:sSupPr>
            <m:ctrlPr>
              <w:rPr>
                <w:rFonts w:ascii="Cambria Math" w:hAnsi="Cambria Math"/>
                <w:i/>
                <w:noProof/>
                <w:lang w:eastAsia="fr-CH"/>
              </w:rPr>
            </m:ctrlPr>
          </m:sSupPr>
          <m:e>
            <m:r>
              <w:rPr>
                <w:rFonts w:ascii="Cambria Math" w:hAnsi="Cambria Math"/>
                <w:noProof/>
                <w:lang w:eastAsia="fr-CH"/>
              </w:rPr>
              <m:t>OH</m:t>
            </m:r>
          </m:e>
          <m:sup>
            <m:r>
              <w:rPr>
                <w:rFonts w:ascii="Cambria Math" w:hAnsi="Cambria Math"/>
                <w:noProof/>
                <w:lang w:eastAsia="fr-CH"/>
              </w:rPr>
              <m:t>-</m:t>
            </m:r>
          </m:sup>
        </m:sSup>
      </m:oMath>
      <w:r>
        <w:rPr>
          <w:rFonts w:eastAsiaTheme="minorEastAsia"/>
          <w:noProof/>
          <w:vertAlign w:val="superscript"/>
          <w:lang w:eastAsia="fr-CH"/>
        </w:rPr>
        <w:t xml:space="preserve"> </w:t>
      </w:r>
      <w:r>
        <w:rPr>
          <w:rFonts w:eastAsiaTheme="minorEastAsia"/>
          <w:noProof/>
          <w:lang w:eastAsia="fr-CH"/>
        </w:rPr>
        <w:t>est très élevée, bi</w:t>
      </w:r>
      <w:r w:rsidR="0036038E">
        <w:rPr>
          <w:rFonts w:eastAsiaTheme="minorEastAsia"/>
          <w:noProof/>
          <w:lang w:eastAsia="fr-CH"/>
        </w:rPr>
        <w:t>en plus que celle de phé</w:t>
      </w:r>
      <w:r>
        <w:rPr>
          <w:rFonts w:eastAsiaTheme="minorEastAsia"/>
          <w:noProof/>
          <w:lang w:eastAsia="fr-CH"/>
        </w:rPr>
        <w:t>nolphtalein</w:t>
      </w:r>
      <w:r w:rsidR="0036038E">
        <w:rPr>
          <w:rFonts w:eastAsiaTheme="minorEastAsia"/>
          <w:noProof/>
          <w:lang w:eastAsia="fr-CH"/>
        </w:rPr>
        <w:t>e</w:t>
      </w:r>
      <w:r>
        <w:rPr>
          <w:rFonts w:eastAsiaTheme="minorEastAsia"/>
          <w:noProof/>
          <w:lang w:eastAsia="fr-CH"/>
        </w:rPr>
        <w:t xml:space="preserve">. Nous avons donc une réaction de pseudo-ordre </w:t>
      </w:r>
      <w:r w:rsidR="00A861EA">
        <w:rPr>
          <w:rFonts w:eastAsiaTheme="minorEastAsia"/>
          <w:noProof/>
          <w:lang w:eastAsia="fr-CH"/>
        </w:rPr>
        <w:t>1</w:t>
      </w:r>
      <w:r>
        <w:rPr>
          <w:rFonts w:eastAsiaTheme="minorEastAsia"/>
          <w:noProof/>
          <w:lang w:eastAsia="fr-CH"/>
        </w:rPr>
        <w:t xml:space="preserve"> </w:t>
      </w:r>
      <m:oMath>
        <m:r>
          <w:rPr>
            <w:rFonts w:ascii="Cambria Math" w:hAnsi="Cambria Math"/>
            <w:noProof/>
            <w:lang w:eastAsia="fr-CH"/>
          </w:rPr>
          <m:t>v=</m:t>
        </m:r>
        <m:sSub>
          <m:sSubPr>
            <m:ctrlPr>
              <w:rPr>
                <w:rFonts w:ascii="Cambria Math" w:hAnsi="Cambria Math"/>
                <w:noProof/>
                <w:lang w:eastAsia="fr-CH"/>
              </w:rPr>
            </m:ctrlPr>
          </m:sSubPr>
          <m:e>
            <m:r>
              <w:rPr>
                <w:rFonts w:ascii="Cambria Math" w:hAnsi="Cambria Math"/>
                <w:noProof/>
                <w:lang w:eastAsia="fr-CH"/>
              </w:rPr>
              <m:t>k</m:t>
            </m:r>
          </m:e>
          <m:sub>
            <m:r>
              <w:rPr>
                <w:rFonts w:ascii="Cambria Math" w:hAnsi="Cambria Math"/>
                <w:noProof/>
                <w:lang w:eastAsia="fr-C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noProof/>
                <w:lang w:eastAsia="fr-C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  <w:lang w:eastAsia="fr-C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lang w:eastAsia="fr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lang w:eastAsia="fr-C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lang w:eastAsia="fr-CH"/>
                      </w:rPr>
                      <m:t>2-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noProof/>
                <w:lang w:eastAsia="fr-CH"/>
              </w:rPr>
              <m:t>m</m:t>
            </m:r>
          </m:sup>
        </m:sSup>
      </m:oMath>
      <w:r>
        <w:rPr>
          <w:rFonts w:eastAsiaTheme="minorEastAsia"/>
          <w:noProof/>
          <w:lang w:eastAsia="fr-CH"/>
        </w:rPr>
        <w:t xml:space="preserve"> car on peut considérer </w:t>
      </w:r>
      <m:oMath>
        <m:r>
          <w:rPr>
            <w:rFonts w:ascii="Cambria Math" w:eastAsiaTheme="minorEastAsia" w:hAnsi="Cambria Math"/>
            <w:noProof/>
            <w:lang w:eastAsia="fr-CH"/>
          </w:rPr>
          <m:t>[</m:t>
        </m:r>
        <m:sSup>
          <m:sSupPr>
            <m:ctrlPr>
              <w:rPr>
                <w:rFonts w:ascii="Cambria Math" w:hAnsi="Cambria Math"/>
                <w:i/>
                <w:noProof/>
                <w:lang w:eastAsia="fr-CH"/>
              </w:rPr>
            </m:ctrlPr>
          </m:sSupPr>
          <m:e>
            <m:r>
              <w:rPr>
                <w:rFonts w:ascii="Cambria Math" w:hAnsi="Cambria Math"/>
                <w:noProof/>
                <w:lang w:eastAsia="fr-CH"/>
              </w:rPr>
              <m:t>OH</m:t>
            </m:r>
          </m:e>
          <m:sup>
            <m:r>
              <w:rPr>
                <w:rFonts w:ascii="Cambria Math" w:hAnsi="Cambria Math"/>
                <w:noProof/>
                <w:lang w:eastAsia="fr-CH"/>
              </w:rPr>
              <m:t>-</m:t>
            </m:r>
          </m:sup>
        </m:sSup>
        <m:r>
          <w:rPr>
            <w:rFonts w:ascii="Cambria Math" w:hAnsi="Cambria Math"/>
            <w:noProof/>
            <w:lang w:eastAsia="fr-CH"/>
          </w:rPr>
          <m:t xml:space="preserve">] </m:t>
        </m:r>
      </m:oMath>
      <w:r>
        <w:rPr>
          <w:rFonts w:eastAsiaTheme="minorEastAsia"/>
          <w:noProof/>
          <w:lang w:eastAsia="fr-CH"/>
        </w:rPr>
        <w:t xml:space="preserve"> est constante, avec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eastAsia="fr-CH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fr-CH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lang w:eastAsia="fr-CH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eastAsia="fr-C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eastAsia="fr-CH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fr-CH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lang w:eastAsia="fr-C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noProof/>
                <w:lang w:eastAsia="fr-CH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eastAsia="fr-CH"/>
              </w:rPr>
              <m:t>[NaOH]</m:t>
            </m:r>
          </m:e>
          <m:sup>
            <m:r>
              <w:rPr>
                <w:rFonts w:ascii="Cambria Math" w:eastAsiaTheme="minorEastAsia" w:hAnsi="Cambria Math"/>
                <w:noProof/>
                <w:lang w:eastAsia="fr-CH"/>
              </w:rPr>
              <m:t>n</m:t>
            </m:r>
          </m:sup>
        </m:sSup>
      </m:oMath>
      <w:r>
        <w:rPr>
          <w:rFonts w:eastAsiaTheme="minorEastAsia"/>
          <w:noProof/>
          <w:lang w:eastAsia="fr-CH"/>
        </w:rPr>
        <w:t>.</w:t>
      </w:r>
    </w:p>
    <w:p w:rsidR="0036038E" w:rsidRPr="0036038E" w:rsidRDefault="0036038E" w:rsidP="00E3299E">
      <w:pPr>
        <w:spacing w:after="0"/>
        <w:jc w:val="both"/>
        <w:rPr>
          <w:rFonts w:eastAsiaTheme="minorEastAsia"/>
          <w:noProof/>
          <w:lang w:eastAsia="fr-CH"/>
        </w:rPr>
      </w:pPr>
      <w:r>
        <w:rPr>
          <w:rFonts w:eastAsiaTheme="minorEastAsia"/>
          <w:noProof/>
          <w:lang w:eastAsia="fr-CH"/>
        </w:rPr>
        <w:t>La quantité de P</w:t>
      </w:r>
      <w:r>
        <w:rPr>
          <w:rFonts w:eastAsiaTheme="minorEastAsia"/>
          <w:noProof/>
          <w:vertAlign w:val="superscript"/>
          <w:lang w:eastAsia="fr-CH"/>
        </w:rPr>
        <w:t xml:space="preserve">2- </w:t>
      </w:r>
      <w:r>
        <w:rPr>
          <w:rFonts w:eastAsiaTheme="minorEastAsia"/>
          <w:noProof/>
          <w:lang w:eastAsia="fr-CH"/>
        </w:rPr>
        <w:t>est  linéaire par rapport à l’absorbance de la solution à 550nm.</w:t>
      </w:r>
    </w:p>
    <w:p w:rsidR="005D2691" w:rsidRDefault="005D2691" w:rsidP="00E3299E">
      <w:pPr>
        <w:spacing w:after="0"/>
        <w:jc w:val="both"/>
        <w:rPr>
          <w:rFonts w:eastAsiaTheme="minorEastAsia"/>
          <w:noProof/>
          <w:lang w:eastAsia="fr-CH"/>
        </w:rPr>
      </w:pPr>
      <w:r>
        <w:rPr>
          <w:rFonts w:eastAsiaTheme="minorEastAsia"/>
          <w:noProof/>
          <w:lang w:eastAsia="fr-CH"/>
        </w:rPr>
        <w:t>On peut alors en conclure que :</w:t>
      </w:r>
    </w:p>
    <w:p w:rsidR="00E3299E" w:rsidRDefault="005D2691" w:rsidP="00E3299E">
      <w:pPr>
        <w:pStyle w:val="Paragraphedeliste"/>
        <w:numPr>
          <w:ilvl w:val="0"/>
          <w:numId w:val="3"/>
        </w:numPr>
        <w:spacing w:after="0"/>
        <w:jc w:val="both"/>
        <w:rPr>
          <w:rFonts w:eastAsiaTheme="minorEastAsia"/>
          <w:noProof/>
          <w:lang w:eastAsia="fr-CH"/>
        </w:rPr>
      </w:pPr>
      <w:r>
        <w:rPr>
          <w:rFonts w:eastAsiaTheme="minorEastAsia"/>
          <w:noProof/>
          <w:lang w:eastAsia="fr-CH"/>
        </w:rPr>
        <w:t>Si la réaction est d’</w:t>
      </w:r>
      <w:r w:rsidR="0036038E">
        <w:rPr>
          <w:rFonts w:eastAsiaTheme="minorEastAsia"/>
          <w:noProof/>
          <w:lang w:eastAsia="fr-CH"/>
        </w:rPr>
        <w:t>ordre 1 par rapport à la phé</w:t>
      </w:r>
      <w:r>
        <w:rPr>
          <w:rFonts w:eastAsiaTheme="minorEastAsia"/>
          <w:noProof/>
          <w:lang w:eastAsia="fr-CH"/>
        </w:rPr>
        <w:t>nolphtalein</w:t>
      </w:r>
      <w:r w:rsidR="0036038E">
        <w:rPr>
          <w:rFonts w:eastAsiaTheme="minorEastAsia"/>
          <w:noProof/>
          <w:lang w:eastAsia="fr-CH"/>
        </w:rPr>
        <w:t>e</w:t>
      </w:r>
      <w:r>
        <w:rPr>
          <w:rFonts w:eastAsiaTheme="minorEastAsia"/>
          <w:noProof/>
          <w:lang w:eastAsia="fr-CH"/>
        </w:rPr>
        <w:t xml:space="preserve">, </w:t>
      </w:r>
      <w:r w:rsidR="0036038E">
        <w:rPr>
          <w:rFonts w:eastAsiaTheme="minorEastAsia"/>
          <w:noProof/>
          <w:lang w:eastAsia="fr-CH"/>
        </w:rPr>
        <w:t>alors le graph</w:t>
      </w:r>
      <w:r w:rsidR="00A71E97">
        <w:rPr>
          <w:rFonts w:eastAsiaTheme="minorEastAsia"/>
          <w:noProof/>
          <w:lang w:eastAsia="fr-CH"/>
        </w:rPr>
        <w:t>e</w:t>
      </w:r>
      <w:r w:rsidR="009C0806">
        <w:rPr>
          <w:rFonts w:eastAsiaTheme="minorEastAsia"/>
          <w:noProof/>
          <w:lang w:eastAsia="fr-CH"/>
        </w:rPr>
        <w:t xml:space="preserve"> du temps vs ln</w:t>
      </w:r>
      <w:r w:rsidR="0036038E">
        <w:rPr>
          <w:rFonts w:eastAsiaTheme="minorEastAsia"/>
          <w:noProof/>
          <w:lang w:eastAsia="fr-CH"/>
        </w:rPr>
        <w:t xml:space="preserve"> </w:t>
      </w:r>
      <w:r w:rsidR="009C0806">
        <w:rPr>
          <w:rFonts w:eastAsiaTheme="minorEastAsia"/>
          <w:noProof/>
          <w:lang w:eastAsia="fr-CH"/>
        </w:rPr>
        <w:t>[</w:t>
      </w:r>
      <w:r w:rsidR="00A71E97">
        <w:rPr>
          <w:rFonts w:eastAsiaTheme="minorEastAsia"/>
          <w:noProof/>
          <w:lang w:eastAsia="fr-CH"/>
        </w:rPr>
        <w:t>A</w:t>
      </w:r>
      <w:r w:rsidR="009C0806">
        <w:rPr>
          <w:rFonts w:eastAsiaTheme="minorEastAsia"/>
          <w:noProof/>
          <w:lang w:eastAsia="fr-CH"/>
        </w:rPr>
        <w:t>] sera linéaire</w:t>
      </w:r>
      <w:r w:rsidR="00B92690">
        <w:rPr>
          <w:rFonts w:eastAsiaTheme="minorEastAsia"/>
          <w:noProof/>
          <w:lang w:eastAsia="fr-CH"/>
        </w:rPr>
        <w:t>, de pente</w:t>
      </w:r>
      <w:r w:rsidR="00A71E97">
        <w:rPr>
          <w:rFonts w:eastAsiaTheme="minorEastAsia"/>
          <w:noProof/>
          <w:lang w:eastAsia="fr-CH"/>
        </w:rPr>
        <w:t xml:space="preserve"> </w:t>
      </w:r>
      <m:oMath>
        <m:r>
          <w:rPr>
            <w:rFonts w:ascii="Cambria Math" w:eastAsiaTheme="minorEastAsia" w:hAnsi="Cambria Math"/>
            <w:noProof/>
            <w:lang w:eastAsia="fr-C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eastAsia="fr-CH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fr-CH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lang w:eastAsia="fr-CH"/>
              </w:rPr>
              <m:t>2</m:t>
            </m:r>
          </m:sub>
        </m:sSub>
      </m:oMath>
      <w:r w:rsidR="00B92690">
        <w:rPr>
          <w:rFonts w:eastAsiaTheme="minorEastAsia"/>
          <w:noProof/>
          <w:lang w:eastAsia="fr-CH"/>
        </w:rPr>
        <w:t>.</w:t>
      </w:r>
    </w:p>
    <w:p w:rsidR="009C0806" w:rsidRPr="009C0806" w:rsidRDefault="009C0806" w:rsidP="00E3299E">
      <w:pPr>
        <w:pStyle w:val="Paragraphedeliste"/>
        <w:numPr>
          <w:ilvl w:val="0"/>
          <w:numId w:val="3"/>
        </w:numPr>
        <w:spacing w:after="0"/>
        <w:jc w:val="both"/>
        <w:rPr>
          <w:rFonts w:eastAsiaTheme="minorEastAsia"/>
          <w:noProof/>
          <w:lang w:eastAsia="fr-CH"/>
        </w:rPr>
      </w:pPr>
      <w:r>
        <w:rPr>
          <w:rFonts w:eastAsiaTheme="minorEastAsia"/>
          <w:noProof/>
          <w:lang w:eastAsia="fr-CH"/>
        </w:rPr>
        <w:t>Si la réaction est d’ordre 1 par rapport aux ions hydroxyde</w:t>
      </w:r>
      <w:r w:rsidR="00D86912">
        <w:rPr>
          <w:rFonts w:eastAsiaTheme="minorEastAsia"/>
          <w:noProof/>
          <w:lang w:eastAsia="fr-CH"/>
        </w:rPr>
        <w:t xml:space="preserve">, on a alors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eastAsia="fr-CH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fr-CH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lang w:eastAsia="fr-CH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eastAsia="fr-C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eastAsia="fr-CH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fr-CH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lang w:eastAsia="fr-CH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eastAsia="fr-CH"/>
          </w:rPr>
          <m:t>/[NaOH]</m:t>
        </m:r>
      </m:oMath>
      <w:r w:rsidR="00A71E97">
        <w:rPr>
          <w:rFonts w:eastAsiaTheme="minorEastAsia"/>
          <w:noProof/>
          <w:lang w:eastAsia="fr-CH"/>
        </w:rPr>
        <w:t xml:space="preserve"> et on peut vérifier que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eastAsia="fr-CH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fr-CH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lang w:eastAsia="fr-CH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eastAsia="fr-CH"/>
          </w:rPr>
          <m:t>/[NaOH]</m:t>
        </m:r>
      </m:oMath>
      <w:r w:rsidR="00A71E97">
        <w:rPr>
          <w:rFonts w:eastAsiaTheme="minorEastAsia"/>
          <w:noProof/>
          <w:lang w:eastAsia="fr-CH"/>
        </w:rPr>
        <w:t xml:space="preserve"> reste constant à différentes concentrations initiales de NaOH.</w:t>
      </w:r>
    </w:p>
    <w:p w:rsidR="00E3299E" w:rsidRPr="00533AC3" w:rsidRDefault="00E3299E" w:rsidP="00E3299E">
      <w:pPr>
        <w:spacing w:after="0"/>
        <w:jc w:val="both"/>
      </w:pPr>
    </w:p>
    <w:p w:rsidR="009A629B" w:rsidRPr="00533AC3" w:rsidRDefault="009A629B" w:rsidP="009A629B">
      <w:pPr>
        <w:pStyle w:val="Titre"/>
        <w:rPr>
          <w:sz w:val="44"/>
          <w:szCs w:val="44"/>
        </w:rPr>
      </w:pPr>
      <w:r w:rsidRPr="00533AC3">
        <w:rPr>
          <w:sz w:val="44"/>
          <w:szCs w:val="44"/>
        </w:rPr>
        <w:t>Exp</w:t>
      </w:r>
      <w:r w:rsidR="0078377B" w:rsidRPr="00533AC3">
        <w:rPr>
          <w:sz w:val="44"/>
          <w:szCs w:val="44"/>
        </w:rPr>
        <w:t>érience</w:t>
      </w:r>
    </w:p>
    <w:p w:rsidR="00DF7740" w:rsidRDefault="00DF7740" w:rsidP="001D45CB">
      <w:pPr>
        <w:spacing w:after="0"/>
        <w:jc w:val="both"/>
      </w:pPr>
      <w:r>
        <w:t>La concentration de phénolphtaléine n’est pas importante dans ce TP,</w:t>
      </w:r>
      <w:r w:rsidR="00FF3EF1">
        <w:t xml:space="preserve"> mais</w:t>
      </w:r>
      <w:r>
        <w:t xml:space="preserve"> elle doit être suffisamment petite pour que </w:t>
      </w:r>
      <w:proofErr w:type="spellStart"/>
      <w:r>
        <w:t>NaOH</w:t>
      </w:r>
      <w:proofErr w:type="spellEnd"/>
      <w:r>
        <w:t xml:space="preserve"> soit en excès.</w:t>
      </w:r>
    </w:p>
    <w:p w:rsidR="009A629B" w:rsidRPr="00533AC3" w:rsidRDefault="0078377B" w:rsidP="001D45CB">
      <w:pPr>
        <w:spacing w:after="0"/>
        <w:jc w:val="both"/>
      </w:pPr>
      <w:r w:rsidRPr="00533AC3">
        <w:t>Préparation d</w:t>
      </w:r>
      <w:r w:rsidR="00E7106D">
        <w:t>es solutions stocks</w:t>
      </w:r>
      <w:r w:rsidRPr="00533AC3">
        <w:t xml:space="preserve"> : </w:t>
      </w:r>
    </w:p>
    <w:p w:rsidR="00071185" w:rsidRPr="00533AC3" w:rsidRDefault="00DF3E63" w:rsidP="00DF7740">
      <w:pPr>
        <w:pStyle w:val="Paragraphedeliste"/>
        <w:numPr>
          <w:ilvl w:val="0"/>
          <w:numId w:val="4"/>
        </w:numPr>
        <w:spacing w:after="0"/>
        <w:jc w:val="both"/>
      </w:pPr>
      <w:r>
        <w:t>Solution de 0.5</w:t>
      </w:r>
      <w:r w:rsidR="00DF7740">
        <w:t xml:space="preserve">0M </w:t>
      </w:r>
      <w:proofErr w:type="spellStart"/>
      <w:r w:rsidR="00DF7740">
        <w:t>NaOH</w:t>
      </w:r>
      <w:proofErr w:type="spellEnd"/>
      <w:r w:rsidR="00DF7740">
        <w:t xml:space="preserve"> : </w:t>
      </w:r>
      <w:r>
        <w:t xml:space="preserve">peser 2g de </w:t>
      </w:r>
      <w:proofErr w:type="spellStart"/>
      <w:r>
        <w:t>NaOH</w:t>
      </w:r>
      <w:proofErr w:type="spellEnd"/>
      <w:r>
        <w:t xml:space="preserve"> et les dissoudre dans 100g d’eau.</w:t>
      </w:r>
    </w:p>
    <w:p w:rsidR="00071185" w:rsidRDefault="00CD1149" w:rsidP="001D45CB">
      <w:pPr>
        <w:pStyle w:val="Paragraphedeliste"/>
        <w:numPr>
          <w:ilvl w:val="0"/>
          <w:numId w:val="2"/>
        </w:numPr>
        <w:spacing w:after="0"/>
        <w:jc w:val="both"/>
      </w:pPr>
      <w:r>
        <w:t>Solution de phénolphtaléine </w:t>
      </w:r>
      <w:r w:rsidR="00050B12">
        <w:t xml:space="preserve">0.6% </w:t>
      </w:r>
      <w:r>
        <w:t xml:space="preserve">: </w:t>
      </w:r>
      <w:r w:rsidR="00050B12">
        <w:t>dissoudre 47mg de phénolphtaléine dans 7.42g d’éthanol.</w:t>
      </w:r>
    </w:p>
    <w:p w:rsidR="00FF3EF1" w:rsidRPr="00533AC3" w:rsidRDefault="00FF3EF1" w:rsidP="001D45CB">
      <w:pPr>
        <w:pStyle w:val="Paragraphedeliste"/>
        <w:numPr>
          <w:ilvl w:val="0"/>
          <w:numId w:val="2"/>
        </w:numPr>
        <w:spacing w:after="0"/>
        <w:jc w:val="both"/>
      </w:pPr>
      <w:r>
        <w:t>S</w:t>
      </w:r>
      <w:r w:rsidR="006C5607">
        <w:t>olution de 0.5</w:t>
      </w:r>
      <w:r w:rsidR="00050B12">
        <w:t xml:space="preserve">0M </w:t>
      </w:r>
      <w:proofErr w:type="spellStart"/>
      <w:r w:rsidR="00050B12">
        <w:t>NaCl</w:t>
      </w:r>
      <w:proofErr w:type="spellEnd"/>
      <w:r w:rsidR="00050B12">
        <w:t> : peser 1.463</w:t>
      </w:r>
      <w:r>
        <w:t xml:space="preserve">g de </w:t>
      </w:r>
      <w:proofErr w:type="spellStart"/>
      <w:r>
        <w:t>NaCl</w:t>
      </w:r>
      <w:proofErr w:type="spellEnd"/>
      <w:r>
        <w:t xml:space="preserve"> et les dissoudre dans 50</w:t>
      </w:r>
      <w:r w:rsidR="00050B12">
        <w:t>g</w:t>
      </w:r>
      <w:r>
        <w:t xml:space="preserve"> d’eau.</w:t>
      </w:r>
    </w:p>
    <w:p w:rsidR="009A629B" w:rsidRPr="00533AC3" w:rsidRDefault="009A629B" w:rsidP="001D45CB">
      <w:pPr>
        <w:spacing w:after="0"/>
        <w:jc w:val="both"/>
      </w:pPr>
    </w:p>
    <w:p w:rsidR="00CD1149" w:rsidRPr="00533AC3" w:rsidRDefault="00CD1149" w:rsidP="001D45CB">
      <w:pPr>
        <w:spacing w:after="0"/>
        <w:jc w:val="both"/>
      </w:pPr>
      <w:r>
        <w:t>Remplir la</w:t>
      </w:r>
      <w:r w:rsidR="009B4062">
        <w:t xml:space="preserve"> cuvette de solution de </w:t>
      </w:r>
      <w:proofErr w:type="spellStart"/>
      <w:r w:rsidR="009B4062">
        <w:t>NaOH</w:t>
      </w:r>
      <w:proofErr w:type="spellEnd"/>
      <w:r w:rsidR="009B4062">
        <w:t xml:space="preserve"> 0.5</w:t>
      </w:r>
      <w:r w:rsidR="00E86DDB">
        <w:t>0</w:t>
      </w:r>
      <w:r>
        <w:t xml:space="preserve">M et ajouter une goutte de solution de </w:t>
      </w:r>
      <w:r w:rsidR="00767583">
        <w:t>phénolphtaléine</w:t>
      </w:r>
      <w:r>
        <w:t>.</w:t>
      </w:r>
      <w:r w:rsidR="00040ED7">
        <w:t xml:space="preserve"> Agiter pour </w:t>
      </w:r>
      <w:r w:rsidR="00BE4A50">
        <w:t>mélanger. On</w:t>
      </w:r>
      <w:r>
        <w:t xml:space="preserve"> mesure alors l’absorbance </w:t>
      </w:r>
      <w:r w:rsidR="009B4062">
        <w:t xml:space="preserve">dans le vert à une cadence </w:t>
      </w:r>
      <w:r w:rsidR="00E86DDB">
        <w:t>de 1 mesure/1</w:t>
      </w:r>
      <w:r w:rsidR="009B4062">
        <w:t xml:space="preserve">0s (on rappelle que le temps de mesure du spectrophotomètre étant d’environ </w:t>
      </w:r>
      <w:r w:rsidR="00E86DDB">
        <w:t>10s, on arrive donc à 1 mesure/2</w:t>
      </w:r>
      <w:r w:rsidR="009B4062">
        <w:t>0s).</w:t>
      </w:r>
    </w:p>
    <w:p w:rsidR="009A629B" w:rsidRPr="00533AC3" w:rsidRDefault="009A629B" w:rsidP="009A629B">
      <w:pPr>
        <w:spacing w:after="0"/>
        <w:jc w:val="both"/>
      </w:pPr>
    </w:p>
    <w:p w:rsidR="009A629B" w:rsidRPr="00533AC3" w:rsidRDefault="009A629B" w:rsidP="009A629B">
      <w:pPr>
        <w:spacing w:after="0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1"/>
        <w:gridCol w:w="852"/>
        <w:gridCol w:w="1005"/>
        <w:gridCol w:w="918"/>
        <w:gridCol w:w="918"/>
        <w:gridCol w:w="868"/>
        <w:gridCol w:w="868"/>
        <w:gridCol w:w="793"/>
        <w:gridCol w:w="716"/>
        <w:gridCol w:w="713"/>
      </w:tblGrid>
      <w:tr w:rsidR="00E86DDB" w:rsidRPr="00533AC3" w:rsidTr="007C4061">
        <w:trPr>
          <w:trHeight w:val="353"/>
        </w:trPr>
        <w:tc>
          <w:tcPr>
            <w:tcW w:w="9062" w:type="dxa"/>
            <w:gridSpan w:val="10"/>
          </w:tcPr>
          <w:p w:rsidR="00E86DDB" w:rsidRPr="00E86DDB" w:rsidRDefault="00E86DDB" w:rsidP="00E86DDB">
            <w:pPr>
              <w:jc w:val="center"/>
              <w:rPr>
                <w:b/>
              </w:rPr>
            </w:pPr>
            <w:r>
              <w:rPr>
                <w:b/>
              </w:rPr>
              <w:t>Expérience 1</w:t>
            </w:r>
          </w:p>
        </w:tc>
      </w:tr>
      <w:tr w:rsidR="00E86DDB" w:rsidRPr="00533AC3" w:rsidTr="00E86DDB">
        <w:trPr>
          <w:trHeight w:val="353"/>
        </w:trPr>
        <w:tc>
          <w:tcPr>
            <w:tcW w:w="1411" w:type="dxa"/>
          </w:tcPr>
          <w:p w:rsidR="00E86DDB" w:rsidRPr="00533AC3" w:rsidRDefault="00E86DDB" w:rsidP="00DE555F">
            <w:pPr>
              <w:jc w:val="both"/>
            </w:pPr>
            <w:r>
              <w:t>Temps (s)</w:t>
            </w:r>
          </w:p>
        </w:tc>
        <w:tc>
          <w:tcPr>
            <w:tcW w:w="852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1005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918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918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868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868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793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716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713" w:type="dxa"/>
          </w:tcPr>
          <w:p w:rsidR="00E86DDB" w:rsidRPr="00533AC3" w:rsidRDefault="00E86DDB" w:rsidP="00DE555F">
            <w:pPr>
              <w:jc w:val="both"/>
            </w:pPr>
          </w:p>
        </w:tc>
      </w:tr>
      <w:tr w:rsidR="00E86DDB" w:rsidRPr="00533AC3" w:rsidTr="00E86DDB">
        <w:trPr>
          <w:trHeight w:val="722"/>
        </w:trPr>
        <w:tc>
          <w:tcPr>
            <w:tcW w:w="1411" w:type="dxa"/>
          </w:tcPr>
          <w:p w:rsidR="00E86DDB" w:rsidRPr="00533AC3" w:rsidRDefault="00E86DDB" w:rsidP="00DE555F">
            <w:pPr>
              <w:jc w:val="both"/>
            </w:pPr>
            <w:r>
              <w:t>Absorbance</w:t>
            </w:r>
          </w:p>
        </w:tc>
        <w:tc>
          <w:tcPr>
            <w:tcW w:w="852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1005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918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918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868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868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793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716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713" w:type="dxa"/>
          </w:tcPr>
          <w:p w:rsidR="00E86DDB" w:rsidRPr="00533AC3" w:rsidRDefault="00E86DDB" w:rsidP="00DE555F">
            <w:pPr>
              <w:jc w:val="both"/>
            </w:pPr>
          </w:p>
        </w:tc>
      </w:tr>
      <w:tr w:rsidR="00E86DDB" w:rsidRPr="00533AC3" w:rsidTr="00E86DDB">
        <w:trPr>
          <w:trHeight w:val="722"/>
        </w:trPr>
        <w:tc>
          <w:tcPr>
            <w:tcW w:w="1411" w:type="dxa"/>
          </w:tcPr>
          <w:p w:rsidR="00E86DDB" w:rsidRPr="00533AC3" w:rsidRDefault="00E86DDB" w:rsidP="00DE555F">
            <w:proofErr w:type="gramStart"/>
            <w:r>
              <w:t>ln</w:t>
            </w:r>
            <w:proofErr w:type="gramEnd"/>
            <w:r>
              <w:t>(A)</w:t>
            </w:r>
          </w:p>
        </w:tc>
        <w:tc>
          <w:tcPr>
            <w:tcW w:w="852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1005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918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918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868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868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793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716" w:type="dxa"/>
          </w:tcPr>
          <w:p w:rsidR="00E86DDB" w:rsidRPr="00533AC3" w:rsidRDefault="00E86DDB" w:rsidP="00DE555F">
            <w:pPr>
              <w:jc w:val="both"/>
            </w:pPr>
          </w:p>
        </w:tc>
        <w:tc>
          <w:tcPr>
            <w:tcW w:w="713" w:type="dxa"/>
          </w:tcPr>
          <w:p w:rsidR="00E86DDB" w:rsidRPr="00533AC3" w:rsidRDefault="00E86DDB" w:rsidP="00DE555F">
            <w:pPr>
              <w:jc w:val="both"/>
            </w:pPr>
          </w:p>
        </w:tc>
      </w:tr>
    </w:tbl>
    <w:p w:rsidR="006C5607" w:rsidRPr="00533AC3" w:rsidRDefault="006C5607" w:rsidP="009A629B">
      <w:pPr>
        <w:spacing w:after="0"/>
        <w:jc w:val="both"/>
      </w:pPr>
    </w:p>
    <w:p w:rsidR="009A629B" w:rsidRDefault="00767583" w:rsidP="009A629B">
      <w:pPr>
        <w:spacing w:after="0"/>
        <w:jc w:val="both"/>
      </w:pPr>
      <w:r>
        <w:t>Tracer le graphe ainsi obtenu sur papier millimétré et vérifier s’il s’agit d’une droite.</w:t>
      </w:r>
    </w:p>
    <w:p w:rsidR="00640F8E" w:rsidRDefault="00767583" w:rsidP="009A629B">
      <w:pPr>
        <w:spacing w:after="0"/>
        <w:jc w:val="both"/>
      </w:pPr>
      <w:r>
        <w:lastRenderedPageBreak/>
        <w:t xml:space="preserve">Déterminer la pente de la droite pour obtenir la constante de vitesse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D45CB" w:rsidRDefault="00640F8E" w:rsidP="009A629B">
      <w:pPr>
        <w:spacing w:after="0"/>
        <w:jc w:val="both"/>
      </w:pPr>
      <w:r>
        <w:rPr>
          <w:noProof/>
        </w:rPr>
        <w:drawing>
          <wp:inline distT="0" distB="0" distL="0" distR="0">
            <wp:extent cx="5760720" cy="4159831"/>
            <wp:effectExtent l="0" t="0" r="0" b="0"/>
            <wp:docPr id="5" name="Image 5" descr="Résultat de recherche d'images pour &quot;papier millimétré canson a imprim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papier millimétré canson a imprimer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50" w:rsidRDefault="00605350" w:rsidP="009A629B">
      <w:pPr>
        <w:spacing w:after="0"/>
        <w:jc w:val="both"/>
      </w:pPr>
    </w:p>
    <w:p w:rsidR="00605350" w:rsidRDefault="00FF3EF1" w:rsidP="00194DB7">
      <w:pPr>
        <w:spacing w:after="0"/>
        <w:jc w:val="both"/>
      </w:pPr>
      <w:r>
        <w:t>O</w:t>
      </w:r>
      <w:r w:rsidR="00F75FBD">
        <w:t>n va répéter l’expérience avec deux</w:t>
      </w:r>
      <w:r>
        <w:t xml:space="preserve"> autres concentrations de </w:t>
      </w:r>
      <w:proofErr w:type="spellStart"/>
      <w:r>
        <w:t>NaOH</w:t>
      </w:r>
      <w:proofErr w:type="spellEnd"/>
      <w:r>
        <w:t xml:space="preserve"> pour déterminer </w:t>
      </w:r>
      <w:r w:rsidR="00E86DDB">
        <w:t>l’ordre de ce réactif.</w:t>
      </w:r>
    </w:p>
    <w:p w:rsidR="00FF3EF1" w:rsidRDefault="00FF3EF1" w:rsidP="00194DB7">
      <w:pPr>
        <w:spacing w:after="0"/>
        <w:jc w:val="both"/>
      </w:pPr>
      <w:r>
        <w:t xml:space="preserve">Pour l’expérience 2, on va utiliser une </w:t>
      </w:r>
      <w:r w:rsidR="006C5607">
        <w:t xml:space="preserve">solution de 0.3M </w:t>
      </w:r>
      <w:proofErr w:type="spellStart"/>
      <w:r w:rsidR="006C5607">
        <w:t>NaOH</w:t>
      </w:r>
      <w:proofErr w:type="spellEnd"/>
      <w:r w:rsidR="006C5607">
        <w:t xml:space="preserve"> en prélevant 3</w:t>
      </w:r>
      <w:r>
        <w:t>0</w:t>
      </w:r>
      <w:r w:rsidR="006C5607">
        <w:t>g</w:t>
      </w:r>
      <w:r>
        <w:t xml:space="preserve"> de la so</w:t>
      </w:r>
      <w:r w:rsidR="006C5607">
        <w:t>lution stock, et en y ajoutant 20g</w:t>
      </w:r>
      <w:r>
        <w:t xml:space="preserve"> de la solution de </w:t>
      </w:r>
      <w:proofErr w:type="spellStart"/>
      <w:r>
        <w:t>NaCl</w:t>
      </w:r>
      <w:proofErr w:type="spellEnd"/>
      <w:r>
        <w:t>.</w:t>
      </w:r>
    </w:p>
    <w:p w:rsidR="00040ED7" w:rsidRDefault="00040ED7" w:rsidP="00194DB7">
      <w:pPr>
        <w:spacing w:after="0"/>
        <w:jc w:val="both"/>
      </w:pPr>
      <w:r>
        <w:t xml:space="preserve">Pour l’expérience 3, on va utiliser une solution de 0.1M </w:t>
      </w:r>
      <w:proofErr w:type="spellStart"/>
      <w:r>
        <w:t>NaOH</w:t>
      </w:r>
      <w:proofErr w:type="spellEnd"/>
      <w:r>
        <w:t xml:space="preserve"> en </w:t>
      </w:r>
      <w:r w:rsidR="006C5607">
        <w:t>prélevant 10g</w:t>
      </w:r>
      <w:r>
        <w:t xml:space="preserve"> de la solution </w:t>
      </w:r>
      <w:r w:rsidR="006C5607">
        <w:t>stock</w:t>
      </w:r>
      <w:r>
        <w:t xml:space="preserve"> </w:t>
      </w:r>
      <w:r w:rsidR="00DE555F">
        <w:t>e</w:t>
      </w:r>
      <w:r w:rsidR="006C5607">
        <w:t>t en y ajoutant 40g</w:t>
      </w:r>
      <w:r w:rsidR="00DE555F">
        <w:t xml:space="preserve"> de la solution de </w:t>
      </w:r>
      <w:proofErr w:type="spellStart"/>
      <w:r w:rsidR="00DE555F">
        <w:t>NaCl</w:t>
      </w:r>
      <w:proofErr w:type="spellEnd"/>
      <w:r w:rsidR="00DE555F">
        <w:t>.</w:t>
      </w:r>
    </w:p>
    <w:p w:rsidR="00DE555F" w:rsidRDefault="00DE555F" w:rsidP="009A629B">
      <w:pPr>
        <w:spacing w:after="0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6"/>
        <w:gridCol w:w="851"/>
        <w:gridCol w:w="851"/>
        <w:gridCol w:w="889"/>
        <w:gridCol w:w="889"/>
        <w:gridCol w:w="889"/>
        <w:gridCol w:w="889"/>
        <w:gridCol w:w="814"/>
        <w:gridCol w:w="852"/>
        <w:gridCol w:w="852"/>
      </w:tblGrid>
      <w:tr w:rsidR="00E86DDB" w:rsidTr="000C6EBF">
        <w:tc>
          <w:tcPr>
            <w:tcW w:w="9062" w:type="dxa"/>
            <w:gridSpan w:val="10"/>
          </w:tcPr>
          <w:p w:rsidR="00E86DDB" w:rsidRDefault="00E86DDB" w:rsidP="00E86DDB">
            <w:pPr>
              <w:spacing w:after="0"/>
              <w:jc w:val="center"/>
            </w:pPr>
            <w:r>
              <w:t>Expérience 2</w:t>
            </w:r>
          </w:p>
        </w:tc>
      </w:tr>
      <w:tr w:rsidR="00E86DDB" w:rsidTr="00E86DDB">
        <w:trPr>
          <w:trHeight w:val="544"/>
        </w:trPr>
        <w:tc>
          <w:tcPr>
            <w:tcW w:w="1286" w:type="dxa"/>
          </w:tcPr>
          <w:p w:rsidR="00E86DDB" w:rsidRDefault="00E86DDB" w:rsidP="009A629B">
            <w:pPr>
              <w:spacing w:after="0"/>
              <w:jc w:val="both"/>
            </w:pPr>
            <w:r>
              <w:t>Temps (s)</w:t>
            </w:r>
          </w:p>
        </w:tc>
        <w:tc>
          <w:tcPr>
            <w:tcW w:w="851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1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14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2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2" w:type="dxa"/>
          </w:tcPr>
          <w:p w:rsidR="00E86DDB" w:rsidRDefault="00E86DDB" w:rsidP="009A629B">
            <w:pPr>
              <w:spacing w:after="0"/>
              <w:jc w:val="both"/>
            </w:pPr>
          </w:p>
        </w:tc>
      </w:tr>
      <w:tr w:rsidR="00E86DDB" w:rsidTr="00E86DDB">
        <w:trPr>
          <w:trHeight w:val="694"/>
        </w:trPr>
        <w:tc>
          <w:tcPr>
            <w:tcW w:w="1286" w:type="dxa"/>
          </w:tcPr>
          <w:p w:rsidR="00E86DDB" w:rsidRDefault="00E86DDB" w:rsidP="009A629B">
            <w:pPr>
              <w:spacing w:after="0"/>
              <w:jc w:val="both"/>
            </w:pPr>
            <w:r>
              <w:t>Absorbance</w:t>
            </w:r>
          </w:p>
        </w:tc>
        <w:tc>
          <w:tcPr>
            <w:tcW w:w="851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1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14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2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2" w:type="dxa"/>
          </w:tcPr>
          <w:p w:rsidR="00E86DDB" w:rsidRDefault="00E86DDB" w:rsidP="009A629B">
            <w:pPr>
              <w:spacing w:after="0"/>
              <w:jc w:val="both"/>
            </w:pPr>
          </w:p>
        </w:tc>
      </w:tr>
      <w:tr w:rsidR="00E86DDB" w:rsidTr="00E86DDB">
        <w:trPr>
          <w:trHeight w:val="555"/>
        </w:trPr>
        <w:tc>
          <w:tcPr>
            <w:tcW w:w="1286" w:type="dxa"/>
            <w:tcBorders>
              <w:bottom w:val="single" w:sz="4" w:space="0" w:color="auto"/>
            </w:tcBorders>
          </w:tcPr>
          <w:p w:rsidR="00E86DDB" w:rsidRDefault="00E86DDB" w:rsidP="009A629B">
            <w:pPr>
              <w:spacing w:after="0"/>
              <w:jc w:val="both"/>
            </w:pPr>
            <w:proofErr w:type="gramStart"/>
            <w:r>
              <w:t>ln</w:t>
            </w:r>
            <w:proofErr w:type="gramEnd"/>
            <w:r>
              <w:t>(A)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14" w:type="dxa"/>
            <w:tcBorders>
              <w:bottom w:val="single" w:sz="4" w:space="0" w:color="auto"/>
            </w:tcBorders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:rsidR="00E86DDB" w:rsidRDefault="00E86DDB" w:rsidP="009A629B">
            <w:pPr>
              <w:spacing w:after="0"/>
              <w:jc w:val="both"/>
            </w:pPr>
          </w:p>
        </w:tc>
      </w:tr>
      <w:tr w:rsidR="00E86DDB" w:rsidTr="003E438D">
        <w:tc>
          <w:tcPr>
            <w:tcW w:w="9062" w:type="dxa"/>
            <w:gridSpan w:val="10"/>
          </w:tcPr>
          <w:p w:rsidR="00E86DDB" w:rsidRDefault="00E86DDB" w:rsidP="00E86DDB">
            <w:pPr>
              <w:spacing w:after="0"/>
              <w:jc w:val="center"/>
            </w:pPr>
            <w:r>
              <w:t>Expérience 3</w:t>
            </w:r>
          </w:p>
        </w:tc>
      </w:tr>
      <w:tr w:rsidR="00E86DDB" w:rsidTr="00E86DDB">
        <w:trPr>
          <w:trHeight w:val="512"/>
        </w:trPr>
        <w:tc>
          <w:tcPr>
            <w:tcW w:w="1286" w:type="dxa"/>
          </w:tcPr>
          <w:p w:rsidR="00E86DDB" w:rsidRDefault="00E86DDB" w:rsidP="009A629B">
            <w:pPr>
              <w:spacing w:after="0"/>
              <w:jc w:val="both"/>
            </w:pPr>
            <w:r>
              <w:t>Temps (s)</w:t>
            </w:r>
          </w:p>
        </w:tc>
        <w:tc>
          <w:tcPr>
            <w:tcW w:w="851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1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14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2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2" w:type="dxa"/>
          </w:tcPr>
          <w:p w:rsidR="00E86DDB" w:rsidRDefault="00E86DDB" w:rsidP="009A629B">
            <w:pPr>
              <w:spacing w:after="0"/>
              <w:jc w:val="both"/>
            </w:pPr>
          </w:p>
        </w:tc>
      </w:tr>
      <w:tr w:rsidR="00E86DDB" w:rsidTr="00E86DDB">
        <w:trPr>
          <w:trHeight w:val="629"/>
        </w:trPr>
        <w:tc>
          <w:tcPr>
            <w:tcW w:w="1286" w:type="dxa"/>
          </w:tcPr>
          <w:p w:rsidR="00E86DDB" w:rsidRDefault="00E86DDB" w:rsidP="009A629B">
            <w:pPr>
              <w:spacing w:after="0"/>
              <w:jc w:val="both"/>
            </w:pPr>
            <w:r>
              <w:t>Absorbance</w:t>
            </w:r>
          </w:p>
        </w:tc>
        <w:tc>
          <w:tcPr>
            <w:tcW w:w="851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1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14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2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2" w:type="dxa"/>
          </w:tcPr>
          <w:p w:rsidR="00E86DDB" w:rsidRDefault="00E86DDB" w:rsidP="009A629B">
            <w:pPr>
              <w:spacing w:after="0"/>
              <w:jc w:val="both"/>
            </w:pPr>
          </w:p>
        </w:tc>
      </w:tr>
      <w:tr w:rsidR="00E86DDB" w:rsidTr="00E86DDB">
        <w:trPr>
          <w:trHeight w:val="837"/>
        </w:trPr>
        <w:tc>
          <w:tcPr>
            <w:tcW w:w="1286" w:type="dxa"/>
          </w:tcPr>
          <w:p w:rsidR="00E86DDB" w:rsidRDefault="00E86DDB" w:rsidP="009A629B">
            <w:pPr>
              <w:spacing w:after="0"/>
              <w:jc w:val="both"/>
            </w:pPr>
            <w:proofErr w:type="gramStart"/>
            <w:r>
              <w:t>ln</w:t>
            </w:r>
            <w:proofErr w:type="gramEnd"/>
            <w:r>
              <w:t>(A)</w:t>
            </w:r>
          </w:p>
        </w:tc>
        <w:tc>
          <w:tcPr>
            <w:tcW w:w="851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1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89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14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2" w:type="dxa"/>
          </w:tcPr>
          <w:p w:rsidR="00E86DDB" w:rsidRDefault="00E86DDB" w:rsidP="009A629B">
            <w:pPr>
              <w:spacing w:after="0"/>
              <w:jc w:val="both"/>
            </w:pPr>
          </w:p>
        </w:tc>
        <w:tc>
          <w:tcPr>
            <w:tcW w:w="852" w:type="dxa"/>
          </w:tcPr>
          <w:p w:rsidR="00E86DDB" w:rsidRDefault="00E86DDB" w:rsidP="009A629B">
            <w:pPr>
              <w:spacing w:after="0"/>
              <w:jc w:val="both"/>
            </w:pPr>
          </w:p>
        </w:tc>
      </w:tr>
    </w:tbl>
    <w:p w:rsidR="00DE555F" w:rsidRDefault="00DE555F" w:rsidP="009A629B">
      <w:pPr>
        <w:spacing w:after="0"/>
        <w:jc w:val="both"/>
      </w:pPr>
    </w:p>
    <w:p w:rsidR="00DE555F" w:rsidRDefault="00DE555F" w:rsidP="009A629B">
      <w:pPr>
        <w:spacing w:after="0"/>
        <w:jc w:val="both"/>
      </w:pPr>
      <w:r>
        <w:rPr>
          <w:noProof/>
        </w:rPr>
        <w:drawing>
          <wp:inline distT="0" distB="0" distL="0" distR="0" wp14:anchorId="74ABFC50" wp14:editId="04FB6DEC">
            <wp:extent cx="5760720" cy="4159250"/>
            <wp:effectExtent l="0" t="0" r="0" b="0"/>
            <wp:docPr id="2" name="Image 2" descr="Résultat de recherche d'images pour &quot;papier millimétré canson a imprim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papier millimétré canson a imprimer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5F" w:rsidRDefault="00DE555F" w:rsidP="009A629B">
      <w:pPr>
        <w:spacing w:after="0"/>
        <w:jc w:val="both"/>
      </w:pPr>
    </w:p>
    <w:p w:rsidR="00DE555F" w:rsidRDefault="00DE555F" w:rsidP="009A629B">
      <w:pPr>
        <w:spacing w:after="0"/>
        <w:jc w:val="both"/>
      </w:pPr>
      <w:r>
        <w:rPr>
          <w:noProof/>
        </w:rPr>
        <w:drawing>
          <wp:inline distT="0" distB="0" distL="0" distR="0" wp14:anchorId="74ABFC50" wp14:editId="04FB6DEC">
            <wp:extent cx="5760720" cy="4159250"/>
            <wp:effectExtent l="0" t="0" r="0" b="0"/>
            <wp:docPr id="3" name="Image 3" descr="Résultat de recherche d'images pour &quot;papier millimétré canson a imprim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papier millimétré canson a imprimer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50" w:rsidRPr="00533AC3" w:rsidRDefault="00605350" w:rsidP="009A629B">
      <w:pPr>
        <w:spacing w:after="0"/>
        <w:jc w:val="both"/>
      </w:pPr>
    </w:p>
    <w:p w:rsidR="009A629B" w:rsidRPr="00533AC3" w:rsidRDefault="009A629B" w:rsidP="009A629B">
      <w:pPr>
        <w:pStyle w:val="Titre"/>
        <w:rPr>
          <w:sz w:val="44"/>
          <w:szCs w:val="44"/>
        </w:rPr>
      </w:pPr>
      <w:r w:rsidRPr="00533AC3">
        <w:rPr>
          <w:sz w:val="44"/>
          <w:szCs w:val="44"/>
        </w:rPr>
        <w:t>Analys</w:t>
      </w:r>
      <w:r w:rsidR="00533AC3">
        <w:rPr>
          <w:sz w:val="44"/>
          <w:szCs w:val="44"/>
        </w:rPr>
        <w:t>e</w:t>
      </w:r>
    </w:p>
    <w:p w:rsidR="006C5607" w:rsidRDefault="006C5607" w:rsidP="006C5607">
      <w:pPr>
        <w:spacing w:after="0"/>
      </w:pPr>
      <w:r>
        <w:t>Pourquoi les mesures d’absorbance ont été réalisées dans le vert ?</w:t>
      </w:r>
    </w:p>
    <w:p w:rsidR="006C5607" w:rsidRDefault="006C5607" w:rsidP="006C5607">
      <w:pPr>
        <w:spacing w:after="0"/>
      </w:pPr>
      <w:r>
        <w:t>Quel est l’ordre de la réaction par rapport à la phénolphtaléine ?</w:t>
      </w:r>
    </w:p>
    <w:p w:rsidR="006C5607" w:rsidRDefault="004C791D" w:rsidP="006C5607">
      <w:pPr>
        <w:spacing w:after="0"/>
        <w:rPr>
          <w:rFonts w:eastAsiaTheme="minorEastAsia"/>
          <w:lang w:eastAsia="fr-CH"/>
        </w:rPr>
      </w:pPr>
      <w:r>
        <w:t xml:space="preserve">Calculez maintenant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eastAsia="fr-CH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fr-CH"/>
              </w:rPr>
              <m:t>k</m:t>
            </m:r>
          </m:e>
          <m:sub>
            <m:r>
              <w:rPr>
                <w:rFonts w:ascii="Cambria Math" w:eastAsiaTheme="minorEastAsia" w:hAnsi="Cambria Math"/>
                <w:noProof/>
                <w:lang w:eastAsia="fr-CH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eastAsia="fr-CH"/>
          </w:rPr>
          <m:t>/[NaOH]</m:t>
        </m:r>
      </m:oMath>
      <w:r>
        <w:rPr>
          <w:rFonts w:eastAsiaTheme="minorEastAsia"/>
          <w:lang w:eastAsia="fr-CH"/>
        </w:rPr>
        <w:t xml:space="preserve"> </w:t>
      </w:r>
      <w:r w:rsidR="006269C7">
        <w:rPr>
          <w:rFonts w:eastAsiaTheme="minorEastAsia"/>
          <w:lang w:eastAsia="fr-CH"/>
        </w:rPr>
        <w:t>, [</w:t>
      </w:r>
      <w:proofErr w:type="spellStart"/>
      <w:r w:rsidR="006269C7">
        <w:rPr>
          <w:rFonts w:eastAsiaTheme="minorEastAsia"/>
          <w:lang w:eastAsia="fr-CH"/>
        </w:rPr>
        <w:t>NaOH</w:t>
      </w:r>
      <w:proofErr w:type="spellEnd"/>
      <w:r w:rsidR="006269C7">
        <w:rPr>
          <w:rFonts w:eastAsiaTheme="minorEastAsia"/>
          <w:lang w:eastAsia="fr-CH"/>
        </w:rPr>
        <w:t xml:space="preserve">] étant la concentration initiale, </w:t>
      </w:r>
      <w:r>
        <w:rPr>
          <w:rFonts w:eastAsiaTheme="minorEastAsia"/>
          <w:lang w:eastAsia="fr-CH"/>
        </w:rPr>
        <w:t>pour les expériences 1, 2 et 3, e</w:t>
      </w:r>
      <w:r w:rsidR="00D23BEB">
        <w:rPr>
          <w:rFonts w:eastAsiaTheme="minorEastAsia"/>
          <w:lang w:eastAsia="fr-CH"/>
        </w:rPr>
        <w:t>t vérifiez que ces quantités soien</w:t>
      </w:r>
      <w:r>
        <w:rPr>
          <w:rFonts w:eastAsiaTheme="minorEastAsia"/>
          <w:lang w:eastAsia="fr-CH"/>
        </w:rPr>
        <w:t>t à peu près égales.</w:t>
      </w:r>
    </w:p>
    <w:p w:rsidR="004C791D" w:rsidRDefault="004C791D" w:rsidP="006C5607">
      <w:pPr>
        <w:spacing w:after="0"/>
      </w:pPr>
      <w:r>
        <w:rPr>
          <w:rFonts w:eastAsiaTheme="minorEastAsia"/>
          <w:lang w:eastAsia="fr-CH"/>
        </w:rPr>
        <w:t>Quel est l’ordre de la réaction par rapport aux ions hydroxydes ?</w:t>
      </w:r>
    </w:p>
    <w:p w:rsidR="004A52BA" w:rsidRDefault="004A52BA"/>
    <w:p w:rsidR="004A52BA" w:rsidRPr="001D45CB" w:rsidRDefault="004A52BA"/>
    <w:sectPr w:rsidR="004A52BA" w:rsidRPr="001D4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6130B"/>
    <w:multiLevelType w:val="hybridMultilevel"/>
    <w:tmpl w:val="8586E7A4"/>
    <w:lvl w:ilvl="0" w:tplc="98DCA6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7230C"/>
    <w:multiLevelType w:val="hybridMultilevel"/>
    <w:tmpl w:val="6178BB6E"/>
    <w:lvl w:ilvl="0" w:tplc="98DCA6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D4258"/>
    <w:multiLevelType w:val="hybridMultilevel"/>
    <w:tmpl w:val="CD4EB194"/>
    <w:lvl w:ilvl="0" w:tplc="F4EEE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105D7"/>
    <w:multiLevelType w:val="hybridMultilevel"/>
    <w:tmpl w:val="A4BA0816"/>
    <w:lvl w:ilvl="0" w:tplc="C39A9B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9B"/>
    <w:rsid w:val="000276A7"/>
    <w:rsid w:val="00040ED7"/>
    <w:rsid w:val="00050B12"/>
    <w:rsid w:val="00054C29"/>
    <w:rsid w:val="00071185"/>
    <w:rsid w:val="0009636D"/>
    <w:rsid w:val="00194DB7"/>
    <w:rsid w:val="001D45CB"/>
    <w:rsid w:val="002143B0"/>
    <w:rsid w:val="0026380D"/>
    <w:rsid w:val="0036038E"/>
    <w:rsid w:val="0037370B"/>
    <w:rsid w:val="004A52BA"/>
    <w:rsid w:val="004C791D"/>
    <w:rsid w:val="00533AC3"/>
    <w:rsid w:val="005D2691"/>
    <w:rsid w:val="00605350"/>
    <w:rsid w:val="006269C7"/>
    <w:rsid w:val="00640F8E"/>
    <w:rsid w:val="006A2766"/>
    <w:rsid w:val="006C5607"/>
    <w:rsid w:val="0075605B"/>
    <w:rsid w:val="00767583"/>
    <w:rsid w:val="0078377B"/>
    <w:rsid w:val="007F7132"/>
    <w:rsid w:val="00876379"/>
    <w:rsid w:val="00885B36"/>
    <w:rsid w:val="008A65C1"/>
    <w:rsid w:val="008B101F"/>
    <w:rsid w:val="008F554D"/>
    <w:rsid w:val="009A629B"/>
    <w:rsid w:val="009B4062"/>
    <w:rsid w:val="009C0806"/>
    <w:rsid w:val="00A71E97"/>
    <w:rsid w:val="00A861EA"/>
    <w:rsid w:val="00AB09BE"/>
    <w:rsid w:val="00B7798A"/>
    <w:rsid w:val="00B92690"/>
    <w:rsid w:val="00BE4A50"/>
    <w:rsid w:val="00CD1149"/>
    <w:rsid w:val="00D23BEB"/>
    <w:rsid w:val="00D86912"/>
    <w:rsid w:val="00DC4250"/>
    <w:rsid w:val="00DE555F"/>
    <w:rsid w:val="00DF3E63"/>
    <w:rsid w:val="00DF7740"/>
    <w:rsid w:val="00E3299E"/>
    <w:rsid w:val="00E7106D"/>
    <w:rsid w:val="00E86DDB"/>
    <w:rsid w:val="00F3164A"/>
    <w:rsid w:val="00F75FBD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96D61"/>
  <w15:chartTrackingRefBased/>
  <w15:docId w15:val="{7129AA4A-226B-4799-9A32-D234A9BE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29B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A629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629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9A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A629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F3164A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533A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2</cp:revision>
  <cp:lastPrinted>2017-08-23T13:44:00Z</cp:lastPrinted>
  <dcterms:created xsi:type="dcterms:W3CDTF">2017-08-23T13:44:00Z</dcterms:created>
  <dcterms:modified xsi:type="dcterms:W3CDTF">2017-08-23T13:44:00Z</dcterms:modified>
</cp:coreProperties>
</file>