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29B" w:rsidRPr="00533AC3" w:rsidRDefault="009A629B" w:rsidP="009A629B">
      <w:pPr>
        <w:pStyle w:val="Titre"/>
        <w:rPr>
          <w:sz w:val="44"/>
          <w:szCs w:val="44"/>
        </w:rPr>
      </w:pPr>
      <w:bookmarkStart w:id="0" w:name="_Hlk488166607"/>
      <w:r w:rsidRPr="00533AC3">
        <w:rPr>
          <w:sz w:val="44"/>
          <w:szCs w:val="44"/>
        </w:rPr>
        <w:t>Introduction</w:t>
      </w:r>
    </w:p>
    <w:p w:rsidR="009A629B" w:rsidRPr="00533AC3" w:rsidRDefault="009A629B" w:rsidP="009A629B">
      <w:pPr>
        <w:spacing w:after="0"/>
        <w:jc w:val="both"/>
      </w:pPr>
      <w:bookmarkStart w:id="1" w:name="_GoBack"/>
      <w:bookmarkEnd w:id="0"/>
      <w:bookmarkEnd w:id="1"/>
    </w:p>
    <w:p w:rsidR="009A629B" w:rsidRDefault="003252C4" w:rsidP="0078377B">
      <w:pPr>
        <w:spacing w:after="0"/>
        <w:jc w:val="both"/>
        <w:rPr>
          <w:noProof/>
          <w:lang w:eastAsia="fr-CH"/>
        </w:rPr>
      </w:pPr>
      <w:r>
        <w:rPr>
          <w:noProof/>
          <w:lang w:eastAsia="fr-CH"/>
        </w:rPr>
        <w:t>L’OD600 est une mesure utilisée en biologie, qui permet de représenter une croissance d’une culture de bactéries sur plusieurs heures. Il s’agit de mesurer l’absorbance de la suspension bactérienne à 600nm, qui doit être caractérisée par 3 phases distinctes :</w:t>
      </w:r>
    </w:p>
    <w:p w:rsidR="003252C4" w:rsidRDefault="003252C4" w:rsidP="003252C4">
      <w:pPr>
        <w:pStyle w:val="Paragraphedeliste"/>
        <w:numPr>
          <w:ilvl w:val="0"/>
          <w:numId w:val="3"/>
        </w:numPr>
        <w:spacing w:after="0"/>
        <w:jc w:val="both"/>
      </w:pPr>
      <w:r>
        <w:t>« </w:t>
      </w:r>
      <w:proofErr w:type="gramStart"/>
      <w:r>
        <w:t>lag</w:t>
      </w:r>
      <w:proofErr w:type="gramEnd"/>
      <w:r>
        <w:t xml:space="preserve"> phase » : les bactéries se préparent à se multiplier, on observe donc une absorbance quasi constante pendant la première heure</w:t>
      </w:r>
      <w:r w:rsidR="001E40E9">
        <w:t>.</w:t>
      </w:r>
    </w:p>
    <w:p w:rsidR="003252C4" w:rsidRDefault="003252C4" w:rsidP="003252C4">
      <w:pPr>
        <w:pStyle w:val="Paragraphedeliste"/>
        <w:numPr>
          <w:ilvl w:val="0"/>
          <w:numId w:val="3"/>
        </w:numPr>
        <w:spacing w:after="0"/>
        <w:jc w:val="both"/>
      </w:pPr>
      <w:r>
        <w:t>« </w:t>
      </w:r>
      <w:proofErr w:type="gramStart"/>
      <w:r>
        <w:t>log</w:t>
      </w:r>
      <w:proofErr w:type="gramEnd"/>
      <w:r>
        <w:t xml:space="preserve"> phase » : une croissance exponentielle du nombre de bactéries, l’absorbance augmente donc fortement pendant cette période.</w:t>
      </w:r>
    </w:p>
    <w:p w:rsidR="003252C4" w:rsidRDefault="001E40E9" w:rsidP="003252C4">
      <w:pPr>
        <w:pStyle w:val="Paragraphedeliste"/>
        <w:numPr>
          <w:ilvl w:val="0"/>
          <w:numId w:val="3"/>
        </w:numPr>
        <w:spacing w:after="0"/>
        <w:jc w:val="both"/>
      </w:pPr>
      <w:r>
        <w:t>« </w:t>
      </w:r>
      <w:proofErr w:type="spellStart"/>
      <w:proofErr w:type="gramStart"/>
      <w:r>
        <w:t>stationnary</w:t>
      </w:r>
      <w:proofErr w:type="spellEnd"/>
      <w:proofErr w:type="gramEnd"/>
      <w:r>
        <w:t xml:space="preserve"> phase » : phase pendant laquelle le taux de croissance/mort se compensent, la quantité de bactérie stagne et donc l’absorbance ne varie pas ou peu.</w:t>
      </w:r>
    </w:p>
    <w:p w:rsidR="001E40E9" w:rsidRPr="001E40E9" w:rsidRDefault="001E40E9" w:rsidP="001E40E9">
      <w:pPr>
        <w:spacing w:after="0"/>
        <w:jc w:val="both"/>
      </w:pPr>
      <w:r>
        <w:t xml:space="preserve">On propose ici d’étudier la bactérie </w:t>
      </w:r>
      <w:r w:rsidRPr="001E40E9">
        <w:rPr>
          <w:i/>
        </w:rPr>
        <w:t>E.</w:t>
      </w:r>
      <w:r>
        <w:rPr>
          <w:i/>
        </w:rPr>
        <w:t xml:space="preserve"> </w:t>
      </w:r>
      <w:r w:rsidRPr="001E40E9">
        <w:rPr>
          <w:i/>
        </w:rPr>
        <w:t>Coli</w:t>
      </w:r>
      <w:r>
        <w:rPr>
          <w:i/>
        </w:rPr>
        <w:t xml:space="preserve"> </w:t>
      </w:r>
      <w:r>
        <w:t>et d’essayer de mesurer l’absorbance à une longueur d’onde différente de la conventionnelle 600nm. En effet, le choix du 600nm est un choix « historique » mais tout autre choix de longueur d’onde compris entre 300 et 800nm devrait fonctionner.</w:t>
      </w:r>
    </w:p>
    <w:p w:rsidR="0078377B" w:rsidRPr="00533AC3" w:rsidRDefault="0078377B" w:rsidP="009A629B">
      <w:pPr>
        <w:spacing w:after="0"/>
      </w:pPr>
    </w:p>
    <w:p w:rsidR="009A629B" w:rsidRPr="00533AC3" w:rsidRDefault="009A629B" w:rsidP="009A629B">
      <w:pPr>
        <w:pStyle w:val="Titre"/>
        <w:rPr>
          <w:sz w:val="44"/>
          <w:szCs w:val="44"/>
        </w:rPr>
      </w:pPr>
      <w:r w:rsidRPr="00533AC3">
        <w:rPr>
          <w:sz w:val="44"/>
          <w:szCs w:val="44"/>
        </w:rPr>
        <w:t>Exp</w:t>
      </w:r>
      <w:r w:rsidR="0078377B" w:rsidRPr="00533AC3">
        <w:rPr>
          <w:sz w:val="44"/>
          <w:szCs w:val="44"/>
        </w:rPr>
        <w:t>érience</w:t>
      </w:r>
    </w:p>
    <w:p w:rsidR="009A629B" w:rsidRPr="00533AC3" w:rsidRDefault="0078377B" w:rsidP="001D45CB">
      <w:pPr>
        <w:spacing w:after="0"/>
        <w:jc w:val="both"/>
      </w:pPr>
      <w:r w:rsidRPr="00533AC3">
        <w:t xml:space="preserve">Préparation du </w:t>
      </w:r>
      <w:r w:rsidR="001E40E9">
        <w:t xml:space="preserve">milieu de culture </w:t>
      </w:r>
      <w:r w:rsidRPr="00533AC3">
        <w:t xml:space="preserve">: </w:t>
      </w:r>
    </w:p>
    <w:p w:rsidR="00071185" w:rsidRDefault="001E40E9" w:rsidP="001D45CB">
      <w:pPr>
        <w:pStyle w:val="Paragraphedeliste"/>
        <w:numPr>
          <w:ilvl w:val="0"/>
          <w:numId w:val="2"/>
        </w:numPr>
        <w:spacing w:after="0"/>
        <w:jc w:val="both"/>
      </w:pPr>
      <w:r>
        <w:t>On compte environ 20g de poudre LB pour 1 litre d’eau. Pour cette expérience, on va donc dissoudre 2g de poudre dans 100g d’eau. Bien agiter.</w:t>
      </w:r>
    </w:p>
    <w:p w:rsidR="001E40E9" w:rsidRDefault="001E40E9" w:rsidP="001D45CB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Faire chauffer la solution à environ 100 </w:t>
      </w:r>
      <w:r w:rsidR="007C1057">
        <w:rPr>
          <w:rStyle w:val="st"/>
        </w:rPr>
        <w:t>°C</w:t>
      </w:r>
      <w:r>
        <w:t xml:space="preserve"> pendant 15min pour bien la stériliser et faciliter la dissolution de la poudre.</w:t>
      </w:r>
    </w:p>
    <w:p w:rsidR="001E40E9" w:rsidRDefault="001E40E9" w:rsidP="001D45CB">
      <w:pPr>
        <w:pStyle w:val="Paragraphedeliste"/>
        <w:numPr>
          <w:ilvl w:val="0"/>
          <w:numId w:val="2"/>
        </w:numPr>
        <w:spacing w:after="0"/>
        <w:jc w:val="both"/>
      </w:pPr>
      <w:r>
        <w:t>Laisser refroidir avant de l’utiliser. Verser ensuite le medium dans la cuvette du spectrophotomètre.</w:t>
      </w:r>
    </w:p>
    <w:p w:rsidR="001E40E9" w:rsidRDefault="001E40E9" w:rsidP="001E40E9">
      <w:pPr>
        <w:spacing w:after="0"/>
        <w:jc w:val="both"/>
      </w:pPr>
    </w:p>
    <w:p w:rsidR="00DA78A1" w:rsidRDefault="001E40E9" w:rsidP="001D45CB">
      <w:pPr>
        <w:spacing w:after="0"/>
        <w:jc w:val="both"/>
      </w:pPr>
      <w:r>
        <w:t>Pour le spectrophotomètre,</w:t>
      </w:r>
      <w:r w:rsidR="007C1057">
        <w:t xml:space="preserve"> on vise une mesure toutes les </w:t>
      </w:r>
      <w:r w:rsidR="00DA78A1">
        <w:t>30</w:t>
      </w:r>
      <w:r>
        <w:t xml:space="preserve">min, régler donc le temps inter-expérience à </w:t>
      </w:r>
      <w:r w:rsidR="00DA78A1">
        <w:t xml:space="preserve">1790s. </w:t>
      </w:r>
      <w:r w:rsidR="007C1057">
        <w:t>Effectuer le blanc avec le LB medium avant d’y ajouter la souche bactérienne.</w:t>
      </w:r>
      <w:r w:rsidR="00026A6E" w:rsidRPr="00026A6E">
        <w:t xml:space="preserve"> </w:t>
      </w:r>
      <w:r w:rsidR="00026A6E">
        <w:t>Le choix de la longueur d</w:t>
      </w:r>
      <w:r w:rsidR="00026A6E">
        <w:t>’onde (</w:t>
      </w:r>
      <w:proofErr w:type="gramStart"/>
      <w:r w:rsidR="00026A6E">
        <w:t>R,G</w:t>
      </w:r>
      <w:proofErr w:type="gramEnd"/>
      <w:r w:rsidR="00026A6E">
        <w:t xml:space="preserve"> ou B) est libre.</w:t>
      </w:r>
      <w:r w:rsidR="00DA78A1">
        <w:t xml:space="preserve"> Avec un ordinateur, il est possible de récupérer les données des 3 couleurs et de pouvoir comparer les 3 directement.</w:t>
      </w:r>
    </w:p>
    <w:p w:rsidR="00DA78A1" w:rsidRDefault="00DA78A1" w:rsidP="001D45CB">
      <w:pPr>
        <w:spacing w:after="0"/>
        <w:jc w:val="both"/>
      </w:pPr>
    </w:p>
    <w:p w:rsidR="00026A6E" w:rsidRPr="00533AC3" w:rsidRDefault="00DA78A1" w:rsidP="001D45CB">
      <w:pPr>
        <w:spacing w:after="0"/>
        <w:jc w:val="both"/>
      </w:pPr>
      <w:r>
        <w:t>Préparation de la suspension :</w:t>
      </w:r>
    </w:p>
    <w:p w:rsidR="00DA78A1" w:rsidRDefault="001E40E9" w:rsidP="00DA78A1">
      <w:pPr>
        <w:pStyle w:val="Paragraphedeliste"/>
        <w:numPr>
          <w:ilvl w:val="0"/>
          <w:numId w:val="2"/>
        </w:numPr>
        <w:spacing w:after="0"/>
        <w:jc w:val="both"/>
      </w:pPr>
      <w:r>
        <w:t>A l’aide d’une pipette pasteur</w:t>
      </w:r>
      <w:r w:rsidR="007C1057">
        <w:t xml:space="preserve"> stérilisée</w:t>
      </w:r>
      <w:r>
        <w:t xml:space="preserve">, prélever une souche de </w:t>
      </w:r>
      <w:r w:rsidRPr="00DA78A1">
        <w:rPr>
          <w:i/>
        </w:rPr>
        <w:t>E. Coli</w:t>
      </w:r>
      <w:r>
        <w:t xml:space="preserve"> et </w:t>
      </w:r>
      <w:r w:rsidR="007C1057">
        <w:t xml:space="preserve">la déposer dans la cuvette du spectrophotomètre. </w:t>
      </w:r>
    </w:p>
    <w:p w:rsidR="009A629B" w:rsidRPr="00533AC3" w:rsidRDefault="007C1057" w:rsidP="00DA78A1">
      <w:pPr>
        <w:pStyle w:val="Paragraphedeliste"/>
        <w:numPr>
          <w:ilvl w:val="0"/>
          <w:numId w:val="2"/>
        </w:numPr>
        <w:spacing w:after="0"/>
        <w:jc w:val="both"/>
      </w:pPr>
      <w:r>
        <w:t xml:space="preserve">Régler l’incubateur sur 37 </w:t>
      </w:r>
      <w:r>
        <w:rPr>
          <w:rStyle w:val="st"/>
        </w:rPr>
        <w:t>°C</w:t>
      </w:r>
      <w:r>
        <w:t xml:space="preserve"> et 15</w:t>
      </w:r>
      <w:r w:rsidR="00DA78A1">
        <w:t>0rpm. Laisser incuber pendant la nuit</w:t>
      </w:r>
      <w:r>
        <w:t>, et revenir le lendemain pour noter les résultats.</w:t>
      </w:r>
      <w:r w:rsidR="00DA78A1">
        <w:t xml:space="preserve"> Une durée de 10h est suffisante pour distinguer les 3 phases.</w:t>
      </w:r>
    </w:p>
    <w:p w:rsidR="009A629B" w:rsidRDefault="009A629B" w:rsidP="009A629B">
      <w:pPr>
        <w:spacing w:after="0"/>
        <w:jc w:val="both"/>
      </w:pPr>
    </w:p>
    <w:p w:rsidR="007C1057" w:rsidRDefault="007C1057" w:rsidP="009A629B">
      <w:pPr>
        <w:spacing w:after="0"/>
        <w:jc w:val="both"/>
      </w:pPr>
    </w:p>
    <w:p w:rsidR="007C1057" w:rsidRDefault="007C1057" w:rsidP="009A629B">
      <w:pPr>
        <w:spacing w:after="0"/>
        <w:jc w:val="both"/>
      </w:pPr>
    </w:p>
    <w:p w:rsidR="00026A6E" w:rsidRDefault="00026A6E" w:rsidP="009A629B">
      <w:pPr>
        <w:spacing w:after="0"/>
        <w:jc w:val="both"/>
      </w:pPr>
    </w:p>
    <w:p w:rsidR="007C1057" w:rsidRDefault="007C1057" w:rsidP="009A629B">
      <w:pPr>
        <w:spacing w:after="0"/>
        <w:jc w:val="both"/>
      </w:pPr>
    </w:p>
    <w:p w:rsidR="007C1057" w:rsidRDefault="007C1057" w:rsidP="009A629B">
      <w:pPr>
        <w:spacing w:after="0"/>
        <w:jc w:val="both"/>
      </w:pPr>
    </w:p>
    <w:p w:rsidR="007C1057" w:rsidRPr="00533AC3" w:rsidRDefault="007C1057" w:rsidP="009A629B">
      <w:pPr>
        <w:spacing w:after="0"/>
        <w:jc w:val="both"/>
      </w:pPr>
    </w:p>
    <w:p w:rsidR="009A629B" w:rsidRPr="00533AC3" w:rsidRDefault="009A629B" w:rsidP="009A629B">
      <w:pPr>
        <w:spacing w:after="0"/>
        <w:jc w:val="both"/>
      </w:pPr>
    </w:p>
    <w:tbl>
      <w:tblPr>
        <w:tblStyle w:val="Grilledutableau"/>
        <w:tblW w:w="0" w:type="auto"/>
        <w:tblInd w:w="2513" w:type="dxa"/>
        <w:tblLook w:val="04A0" w:firstRow="1" w:lastRow="0" w:firstColumn="1" w:lastColumn="0" w:noHBand="0" w:noVBand="1"/>
      </w:tblPr>
      <w:tblGrid>
        <w:gridCol w:w="2018"/>
        <w:gridCol w:w="2018"/>
      </w:tblGrid>
      <w:tr w:rsidR="007C1057" w:rsidTr="007C1057">
        <w:trPr>
          <w:trHeight w:val="285"/>
        </w:trPr>
        <w:tc>
          <w:tcPr>
            <w:tcW w:w="2018" w:type="dxa"/>
          </w:tcPr>
          <w:p w:rsidR="007C1057" w:rsidRPr="00026A6E" w:rsidRDefault="007C1057" w:rsidP="009A629B">
            <w:pPr>
              <w:spacing w:after="0"/>
              <w:jc w:val="both"/>
              <w:rPr>
                <w:b/>
              </w:rPr>
            </w:pPr>
            <w:r w:rsidRPr="00026A6E">
              <w:rPr>
                <w:b/>
              </w:rPr>
              <w:t>Temps(s)</w:t>
            </w:r>
          </w:p>
        </w:tc>
        <w:tc>
          <w:tcPr>
            <w:tcW w:w="2018" w:type="dxa"/>
          </w:tcPr>
          <w:p w:rsidR="007C1057" w:rsidRPr="00026A6E" w:rsidRDefault="007C1057" w:rsidP="009A629B">
            <w:pPr>
              <w:spacing w:after="0"/>
              <w:jc w:val="both"/>
              <w:rPr>
                <w:b/>
              </w:rPr>
            </w:pPr>
            <w:r w:rsidRPr="00026A6E">
              <w:rPr>
                <w:b/>
              </w:rPr>
              <w:t>Absorbance</w:t>
            </w:r>
          </w:p>
        </w:tc>
      </w:tr>
      <w:tr w:rsidR="007C1057" w:rsidTr="007C1057">
        <w:trPr>
          <w:trHeight w:val="297"/>
        </w:trPr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</w:tr>
      <w:tr w:rsidR="007C1057" w:rsidTr="007C1057">
        <w:trPr>
          <w:trHeight w:val="285"/>
        </w:trPr>
        <w:tc>
          <w:tcPr>
            <w:tcW w:w="2018" w:type="dxa"/>
          </w:tcPr>
          <w:p w:rsidR="00EC3B58" w:rsidRDefault="00EC3B58" w:rsidP="009A629B">
            <w:pPr>
              <w:spacing w:after="0"/>
              <w:jc w:val="both"/>
            </w:pPr>
          </w:p>
        </w:tc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</w:tr>
      <w:tr w:rsidR="007C1057" w:rsidTr="007C1057">
        <w:trPr>
          <w:trHeight w:val="297"/>
        </w:trPr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</w:tr>
      <w:tr w:rsidR="007C1057" w:rsidTr="007C1057">
        <w:trPr>
          <w:trHeight w:val="285"/>
        </w:trPr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</w:tr>
      <w:tr w:rsidR="007C1057" w:rsidTr="007C1057">
        <w:trPr>
          <w:trHeight w:val="297"/>
        </w:trPr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</w:tr>
      <w:tr w:rsidR="007C1057" w:rsidTr="007C1057">
        <w:trPr>
          <w:trHeight w:val="285"/>
        </w:trPr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</w:tr>
      <w:tr w:rsidR="007C1057" w:rsidTr="007C1057">
        <w:trPr>
          <w:trHeight w:val="297"/>
        </w:trPr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</w:tr>
      <w:tr w:rsidR="007C1057" w:rsidTr="007C1057">
        <w:trPr>
          <w:trHeight w:val="285"/>
        </w:trPr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</w:tr>
      <w:tr w:rsidR="007C1057" w:rsidTr="007C1057">
        <w:trPr>
          <w:trHeight w:val="297"/>
        </w:trPr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</w:tr>
      <w:tr w:rsidR="007C1057" w:rsidTr="007C1057">
        <w:trPr>
          <w:trHeight w:val="285"/>
        </w:trPr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</w:tr>
      <w:tr w:rsidR="007C1057" w:rsidTr="007C1057">
        <w:trPr>
          <w:trHeight w:val="297"/>
        </w:trPr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</w:tr>
      <w:tr w:rsidR="007C1057" w:rsidTr="007C1057">
        <w:trPr>
          <w:trHeight w:val="285"/>
        </w:trPr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</w:tr>
      <w:tr w:rsidR="007C1057" w:rsidTr="007C1057">
        <w:trPr>
          <w:trHeight w:val="297"/>
        </w:trPr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</w:tr>
      <w:tr w:rsidR="007C1057" w:rsidTr="007C1057">
        <w:trPr>
          <w:trHeight w:val="285"/>
        </w:trPr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</w:tr>
      <w:tr w:rsidR="007C1057" w:rsidTr="007C1057">
        <w:trPr>
          <w:trHeight w:val="297"/>
        </w:trPr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  <w:tc>
          <w:tcPr>
            <w:tcW w:w="2018" w:type="dxa"/>
          </w:tcPr>
          <w:p w:rsidR="007C1057" w:rsidRDefault="007C1057" w:rsidP="009A629B">
            <w:pPr>
              <w:spacing w:after="0"/>
              <w:jc w:val="both"/>
            </w:pPr>
          </w:p>
        </w:tc>
      </w:tr>
    </w:tbl>
    <w:p w:rsidR="001D45CB" w:rsidRDefault="001D45CB" w:rsidP="009A629B">
      <w:pPr>
        <w:spacing w:after="0"/>
        <w:jc w:val="both"/>
      </w:pPr>
    </w:p>
    <w:p w:rsidR="001D45CB" w:rsidRDefault="00EC3B58" w:rsidP="009A629B">
      <w:pPr>
        <w:spacing w:after="0"/>
        <w:jc w:val="both"/>
      </w:pPr>
      <w:r>
        <w:t>Tracer la droite sur Excel ou alors directement sur papier millimétré :</w:t>
      </w:r>
    </w:p>
    <w:p w:rsidR="00640F8E" w:rsidRDefault="00640F8E" w:rsidP="009A629B">
      <w:pPr>
        <w:spacing w:after="0"/>
        <w:jc w:val="both"/>
      </w:pPr>
    </w:p>
    <w:p w:rsidR="00605350" w:rsidRDefault="00640F8E" w:rsidP="009A629B">
      <w:pPr>
        <w:spacing w:after="0"/>
        <w:jc w:val="both"/>
      </w:pPr>
      <w:r>
        <w:rPr>
          <w:noProof/>
        </w:rPr>
        <w:drawing>
          <wp:inline distT="0" distB="0" distL="0" distR="0">
            <wp:extent cx="5760720" cy="4159831"/>
            <wp:effectExtent l="0" t="0" r="0" b="0"/>
            <wp:docPr id="5" name="Image 5" descr="Résultat de recherche d'images pour &quot;papier millimétré canson a imprimer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papier millimétré canson a imprimer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A1" w:rsidRPr="00533AC3" w:rsidRDefault="00DA78A1" w:rsidP="009A629B">
      <w:pPr>
        <w:spacing w:after="0"/>
        <w:jc w:val="both"/>
      </w:pPr>
    </w:p>
    <w:p w:rsidR="009A629B" w:rsidRPr="00533AC3" w:rsidRDefault="009A629B" w:rsidP="009A629B">
      <w:pPr>
        <w:pStyle w:val="Titre"/>
        <w:rPr>
          <w:sz w:val="44"/>
          <w:szCs w:val="44"/>
        </w:rPr>
      </w:pPr>
      <w:r w:rsidRPr="00533AC3">
        <w:rPr>
          <w:sz w:val="44"/>
          <w:szCs w:val="44"/>
        </w:rPr>
        <w:lastRenderedPageBreak/>
        <w:t>Analys</w:t>
      </w:r>
      <w:r w:rsidR="00533AC3">
        <w:rPr>
          <w:sz w:val="44"/>
          <w:szCs w:val="44"/>
        </w:rPr>
        <w:t>e</w:t>
      </w:r>
    </w:p>
    <w:p w:rsidR="00026A6E" w:rsidRDefault="00EC3B58" w:rsidP="00026A6E">
      <w:pPr>
        <w:spacing w:after="0"/>
      </w:pPr>
      <w:r>
        <w:t>Arrivez-vous à bien distinguer les 3 phases typiques de la croissance bactérienne ?</w:t>
      </w:r>
      <w:r w:rsidR="00026A6E">
        <w:t xml:space="preserve"> </w:t>
      </w:r>
    </w:p>
    <w:p w:rsidR="00026A6E" w:rsidRDefault="00026A6E" w:rsidP="00026A6E">
      <w:pPr>
        <w:spacing w:after="0"/>
      </w:pPr>
      <w:r>
        <w:t>Pourquoi ne peut-on pas en revanche effectuer un « OD250 », c’est-à-dire une mesure de l’OD dans l’UV ?</w:t>
      </w:r>
    </w:p>
    <w:p w:rsidR="00DB61D1" w:rsidRPr="001D45CB" w:rsidRDefault="00DB61D1" w:rsidP="00026A6E">
      <w:pPr>
        <w:spacing w:after="0"/>
      </w:pPr>
    </w:p>
    <w:sectPr w:rsidR="00DB61D1" w:rsidRPr="001D4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4FEF"/>
    <w:multiLevelType w:val="hybridMultilevel"/>
    <w:tmpl w:val="C876D956"/>
    <w:lvl w:ilvl="0" w:tplc="C7F228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4258"/>
    <w:multiLevelType w:val="hybridMultilevel"/>
    <w:tmpl w:val="CD4EB194"/>
    <w:lvl w:ilvl="0" w:tplc="F4EEE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105D7"/>
    <w:multiLevelType w:val="hybridMultilevel"/>
    <w:tmpl w:val="A4BA0816"/>
    <w:lvl w:ilvl="0" w:tplc="C39A9B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9B"/>
    <w:rsid w:val="00026A6E"/>
    <w:rsid w:val="00071185"/>
    <w:rsid w:val="0009636D"/>
    <w:rsid w:val="001D45CB"/>
    <w:rsid w:val="001E40E9"/>
    <w:rsid w:val="002143B0"/>
    <w:rsid w:val="003252C4"/>
    <w:rsid w:val="0037370B"/>
    <w:rsid w:val="00533AC3"/>
    <w:rsid w:val="00605350"/>
    <w:rsid w:val="006360AA"/>
    <w:rsid w:val="00640F8E"/>
    <w:rsid w:val="006A2766"/>
    <w:rsid w:val="0078377B"/>
    <w:rsid w:val="007C1057"/>
    <w:rsid w:val="007F7132"/>
    <w:rsid w:val="00885B36"/>
    <w:rsid w:val="008B101F"/>
    <w:rsid w:val="009A629B"/>
    <w:rsid w:val="00A37D29"/>
    <w:rsid w:val="00D30AB5"/>
    <w:rsid w:val="00DA78A1"/>
    <w:rsid w:val="00DB61D1"/>
    <w:rsid w:val="00EC3B58"/>
    <w:rsid w:val="00F3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F99981"/>
  <w15:chartTrackingRefBased/>
  <w15:docId w15:val="{7129AA4A-226B-4799-9A32-D234A9BE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29B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A629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629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9A6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A629B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F3164A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533AC3"/>
    <w:rPr>
      <w:color w:val="808080"/>
    </w:rPr>
  </w:style>
  <w:style w:type="character" w:customStyle="1" w:styleId="st">
    <w:name w:val="st"/>
    <w:basedOn w:val="Policepardfaut"/>
    <w:rsid w:val="007C1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6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2</cp:revision>
  <dcterms:created xsi:type="dcterms:W3CDTF">2017-08-23T13:45:00Z</dcterms:created>
  <dcterms:modified xsi:type="dcterms:W3CDTF">2017-08-23T13:45:00Z</dcterms:modified>
</cp:coreProperties>
</file>