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29B" w:rsidRPr="00533AC3" w:rsidRDefault="009A629B" w:rsidP="009A629B">
      <w:pPr>
        <w:pStyle w:val="Titre"/>
        <w:rPr>
          <w:sz w:val="44"/>
          <w:szCs w:val="44"/>
        </w:rPr>
      </w:pPr>
      <w:bookmarkStart w:id="0" w:name="_Hlk488166607"/>
      <w:bookmarkStart w:id="1" w:name="_GoBack"/>
      <w:bookmarkEnd w:id="1"/>
      <w:r w:rsidRPr="00533AC3">
        <w:rPr>
          <w:sz w:val="44"/>
          <w:szCs w:val="44"/>
        </w:rPr>
        <w:t>Introduction</w:t>
      </w:r>
    </w:p>
    <w:bookmarkEnd w:id="0"/>
    <w:p w:rsidR="009A629B" w:rsidRPr="00533AC3" w:rsidRDefault="009A629B" w:rsidP="009A629B">
      <w:pPr>
        <w:spacing w:after="0"/>
        <w:jc w:val="both"/>
      </w:pPr>
    </w:p>
    <w:p w:rsidR="009A629B" w:rsidRPr="00533AC3" w:rsidRDefault="009A629B" w:rsidP="0078377B">
      <w:pPr>
        <w:spacing w:after="0"/>
        <w:jc w:val="both"/>
      </w:pPr>
      <w:r w:rsidRPr="00533AC3">
        <w:rPr>
          <w:noProof/>
          <w:lang w:eastAsia="fr-CH"/>
        </w:rPr>
        <w:t xml:space="preserve">Le bleu patenté V est un colorant alimentaire qu’on retrouve dans l’industrie alimentaire, malgré les suspicions d’être cancérigène. Pour tous les additifs alimentaires, on retrouve des normes journalières fixées par l’union européenne qu’on nomme DJA (Dose Journalière Admissible). Il s’agit d’un seuil, souvent exprimé en mg/kg, qui exprime la quantité </w:t>
      </w:r>
      <w:r w:rsidR="006A2766" w:rsidRPr="00533AC3">
        <w:rPr>
          <w:noProof/>
          <w:lang w:eastAsia="fr-CH"/>
        </w:rPr>
        <w:t>de substance qui peut être ingérée quotidiennement sans risque de répercussion sur la santé.</w:t>
      </w:r>
    </w:p>
    <w:p w:rsidR="009A629B" w:rsidRPr="00533AC3" w:rsidRDefault="0078377B" w:rsidP="0078377B">
      <w:pPr>
        <w:spacing w:after="0"/>
        <w:jc w:val="both"/>
      </w:pPr>
      <w:r w:rsidRPr="00533AC3">
        <w:t xml:space="preserve">Nous allons déterminer si la quantité de bleu patenté V présent dans les bonbons Haribo « Schtroumpfs » </w:t>
      </w:r>
      <w:r w:rsidR="001C67C4">
        <w:t>n’est pas trop élevée par rapport à la</w:t>
      </w:r>
      <w:r w:rsidRPr="00533AC3">
        <w:t xml:space="preserve"> quantité régulée par l’UE.</w:t>
      </w:r>
    </w:p>
    <w:p w:rsidR="0078377B" w:rsidRPr="00533AC3" w:rsidRDefault="0078377B" w:rsidP="009A629B">
      <w:pPr>
        <w:spacing w:after="0"/>
      </w:pPr>
    </w:p>
    <w:p w:rsidR="009A629B" w:rsidRPr="00533AC3" w:rsidRDefault="009A629B" w:rsidP="009A629B">
      <w:pPr>
        <w:pStyle w:val="Titre"/>
        <w:rPr>
          <w:sz w:val="44"/>
          <w:szCs w:val="44"/>
        </w:rPr>
      </w:pPr>
      <w:r w:rsidRPr="00533AC3">
        <w:rPr>
          <w:sz w:val="44"/>
          <w:szCs w:val="44"/>
        </w:rPr>
        <w:t>Exp</w:t>
      </w:r>
      <w:r w:rsidR="0078377B" w:rsidRPr="00533AC3">
        <w:rPr>
          <w:sz w:val="44"/>
          <w:szCs w:val="44"/>
        </w:rPr>
        <w:t>érience</w:t>
      </w:r>
    </w:p>
    <w:p w:rsidR="009A629B" w:rsidRPr="00533AC3" w:rsidRDefault="0078377B" w:rsidP="001D45CB">
      <w:pPr>
        <w:spacing w:after="0"/>
        <w:jc w:val="both"/>
      </w:pPr>
      <w:r w:rsidRPr="00533AC3">
        <w:t xml:space="preserve">Préparation du bonbon : </w:t>
      </w:r>
    </w:p>
    <w:p w:rsidR="00071185" w:rsidRPr="00533AC3" w:rsidRDefault="00071185" w:rsidP="001D45CB">
      <w:pPr>
        <w:pStyle w:val="Paragraphedeliste"/>
        <w:numPr>
          <w:ilvl w:val="0"/>
          <w:numId w:val="2"/>
        </w:numPr>
        <w:spacing w:after="0"/>
        <w:jc w:val="both"/>
      </w:pPr>
      <w:r w:rsidRPr="00533AC3">
        <w:t>P</w:t>
      </w:r>
      <w:r w:rsidR="001C67C4">
        <w:t>rendre</w:t>
      </w:r>
      <w:r w:rsidRPr="00533AC3">
        <w:t xml:space="preserve"> un schtroumpf (couper le chapeau s’il n’est pas également bleu)</w:t>
      </w:r>
      <w:r w:rsidR="001C67C4">
        <w:t xml:space="preserve"> et le découper en plusieurs morceaux pour préparer sa dissolution</w:t>
      </w:r>
    </w:p>
    <w:p w:rsidR="00071185" w:rsidRPr="00533AC3" w:rsidRDefault="00071185" w:rsidP="001D45CB">
      <w:pPr>
        <w:pStyle w:val="Paragraphedeliste"/>
        <w:numPr>
          <w:ilvl w:val="0"/>
          <w:numId w:val="2"/>
        </w:numPr>
        <w:spacing w:after="0"/>
        <w:jc w:val="both"/>
      </w:pPr>
      <w:r w:rsidRPr="00533AC3">
        <w:t xml:space="preserve">Prendre ce dernier, et le dissoudre dans environ 30mL d’eau chaude. </w:t>
      </w:r>
    </w:p>
    <w:p w:rsidR="00071185" w:rsidRPr="00533AC3" w:rsidRDefault="00071185" w:rsidP="001D45CB">
      <w:pPr>
        <w:pStyle w:val="Paragraphedeliste"/>
        <w:numPr>
          <w:ilvl w:val="0"/>
          <w:numId w:val="2"/>
        </w:numPr>
        <w:spacing w:after="0"/>
        <w:jc w:val="both"/>
      </w:pPr>
      <w:r w:rsidRPr="00533AC3">
        <w:t xml:space="preserve">Verser le tout dans un </w:t>
      </w:r>
      <w:r w:rsidR="001C67C4">
        <w:t>autre récipient et ajouter 20g d’eau pour arriver à 50mL d’eau.</w:t>
      </w:r>
    </w:p>
    <w:p w:rsidR="009A629B" w:rsidRPr="00533AC3" w:rsidRDefault="009A629B" w:rsidP="001D45CB">
      <w:pPr>
        <w:spacing w:after="0"/>
        <w:jc w:val="both"/>
      </w:pPr>
    </w:p>
    <w:p w:rsidR="009A629B" w:rsidRPr="00533AC3" w:rsidRDefault="00071185" w:rsidP="001D45CB">
      <w:pPr>
        <w:spacing w:after="0"/>
        <w:jc w:val="both"/>
      </w:pPr>
      <w:r w:rsidRPr="00533AC3">
        <w:t xml:space="preserve">On va ensuite </w:t>
      </w:r>
      <w:r w:rsidR="00533AC3" w:rsidRPr="00533AC3">
        <w:t>préparer</w:t>
      </w:r>
      <w:r w:rsidRPr="00533AC3">
        <w:t xml:space="preserve"> une droite d’étalonnage du bleu patenté V. Pour ceci, on va </w:t>
      </w:r>
      <w:r w:rsidR="00533AC3" w:rsidRPr="00533AC3">
        <w:t>préparer</w:t>
      </w:r>
      <w:r w:rsidRPr="00533AC3">
        <w:t xml:space="preserve"> 5 solutions de concentrations 2,4,6,8 et 10x10</w:t>
      </w:r>
      <w:r w:rsidRPr="00533AC3">
        <w:rPr>
          <w:vertAlign w:val="superscript"/>
        </w:rPr>
        <w:t xml:space="preserve">-6 </w:t>
      </w:r>
      <w:r w:rsidR="00533AC3" w:rsidRPr="00533AC3">
        <w:t>mol/L, et on me</w:t>
      </w:r>
      <w:r w:rsidR="001C67C4">
        <w:t>sure leur absorbance respective.</w:t>
      </w:r>
    </w:p>
    <w:p w:rsidR="009A629B" w:rsidRDefault="001C67C4" w:rsidP="001C67C4">
      <w:pPr>
        <w:pStyle w:val="Paragraphedeliste"/>
        <w:numPr>
          <w:ilvl w:val="0"/>
          <w:numId w:val="2"/>
        </w:numPr>
        <w:spacing w:after="0"/>
        <w:jc w:val="both"/>
      </w:pPr>
      <w:r>
        <w:t>Commencer par préparer une solution appelée S0, de concentration 10</w:t>
      </w:r>
      <w:r>
        <w:rPr>
          <w:vertAlign w:val="superscript"/>
        </w:rPr>
        <w:t>-4</w:t>
      </w:r>
      <w:r>
        <w:t xml:space="preserve"> mol/L.</w:t>
      </w:r>
    </w:p>
    <w:p w:rsidR="001C67C4" w:rsidRDefault="001C67C4" w:rsidP="001C67C4">
      <w:pPr>
        <w:pStyle w:val="Paragraphedeliste"/>
        <w:numPr>
          <w:ilvl w:val="0"/>
          <w:numId w:val="2"/>
        </w:numPr>
        <w:spacing w:after="0"/>
        <w:jc w:val="both"/>
      </w:pPr>
      <w:r>
        <w:t>Pour ceci, dissoudre 0.0058g de bleu patenté dans 100mL d’eau.</w:t>
      </w:r>
    </w:p>
    <w:p w:rsidR="001C67C4" w:rsidRDefault="001C67C4" w:rsidP="001C67C4">
      <w:pPr>
        <w:pStyle w:val="Paragraphedeliste"/>
        <w:numPr>
          <w:ilvl w:val="0"/>
          <w:numId w:val="2"/>
        </w:numPr>
        <w:spacing w:after="0"/>
        <w:jc w:val="both"/>
      </w:pPr>
      <w:r>
        <w:t>Préparer S1 en diluant cette solution à 1 :10 (on peut prendre 1g de S0 et ajouter 9g d’eau).</w:t>
      </w:r>
    </w:p>
    <w:p w:rsidR="001C67C4" w:rsidRDefault="001C67C4" w:rsidP="001C67C4">
      <w:pPr>
        <w:pStyle w:val="Paragraphedeliste"/>
        <w:numPr>
          <w:ilvl w:val="0"/>
          <w:numId w:val="2"/>
        </w:numPr>
        <w:spacing w:after="0"/>
        <w:jc w:val="both"/>
      </w:pPr>
      <w:r>
        <w:t>Préparer S2 en diluant 5g de S1 avec 1.25g d’eau.</w:t>
      </w:r>
    </w:p>
    <w:p w:rsidR="001C67C4" w:rsidRDefault="001C67C4" w:rsidP="001C67C4">
      <w:pPr>
        <w:pStyle w:val="Paragraphedeliste"/>
        <w:numPr>
          <w:ilvl w:val="0"/>
          <w:numId w:val="2"/>
        </w:numPr>
        <w:spacing w:after="0"/>
        <w:jc w:val="both"/>
      </w:pPr>
      <w:r>
        <w:t>Préparer S3 en diluant 4g de S1 avec 2.66g d’eau.</w:t>
      </w:r>
    </w:p>
    <w:p w:rsidR="001C67C4" w:rsidRDefault="001C67C4" w:rsidP="001C67C4">
      <w:pPr>
        <w:pStyle w:val="Paragraphedeliste"/>
        <w:numPr>
          <w:ilvl w:val="0"/>
          <w:numId w:val="2"/>
        </w:numPr>
        <w:spacing w:after="0"/>
        <w:jc w:val="both"/>
      </w:pPr>
      <w:r>
        <w:t>Préparer S4 en diluant 3g de S1 avec 4.5g d’eau.</w:t>
      </w:r>
    </w:p>
    <w:p w:rsidR="001C67C4" w:rsidRPr="00533AC3" w:rsidRDefault="001C67C4" w:rsidP="001C67C4">
      <w:pPr>
        <w:pStyle w:val="Paragraphedeliste"/>
        <w:numPr>
          <w:ilvl w:val="0"/>
          <w:numId w:val="2"/>
        </w:numPr>
        <w:spacing w:after="0"/>
        <w:jc w:val="both"/>
      </w:pPr>
      <w:r>
        <w:t>Préparer S5 en diluant 2g de S1 avec 8g d’eau.</w:t>
      </w:r>
    </w:p>
    <w:p w:rsidR="009A629B" w:rsidRPr="00533AC3" w:rsidRDefault="009A629B" w:rsidP="009A629B">
      <w:pPr>
        <w:spacing w:after="0"/>
        <w:jc w:val="both"/>
      </w:pPr>
    </w:p>
    <w:tbl>
      <w:tblPr>
        <w:tblStyle w:val="Grilledutableau"/>
        <w:tblW w:w="0" w:type="auto"/>
        <w:tblLook w:val="04A0" w:firstRow="1" w:lastRow="0" w:firstColumn="1" w:lastColumn="0" w:noHBand="0" w:noVBand="1"/>
      </w:tblPr>
      <w:tblGrid>
        <w:gridCol w:w="1536"/>
        <w:gridCol w:w="1504"/>
        <w:gridCol w:w="1504"/>
        <w:gridCol w:w="1504"/>
        <w:gridCol w:w="1505"/>
        <w:gridCol w:w="1509"/>
      </w:tblGrid>
      <w:tr w:rsidR="00071185" w:rsidRPr="00533AC3" w:rsidTr="000D3039">
        <w:trPr>
          <w:trHeight w:val="353"/>
        </w:trPr>
        <w:tc>
          <w:tcPr>
            <w:tcW w:w="1539" w:type="dxa"/>
          </w:tcPr>
          <w:p w:rsidR="009A629B" w:rsidRPr="00533AC3" w:rsidRDefault="009A629B" w:rsidP="000D3039">
            <w:pPr>
              <w:jc w:val="both"/>
            </w:pPr>
            <w:r w:rsidRPr="00533AC3">
              <w:t>Solution</w:t>
            </w:r>
          </w:p>
        </w:tc>
        <w:tc>
          <w:tcPr>
            <w:tcW w:w="1539" w:type="dxa"/>
          </w:tcPr>
          <w:p w:rsidR="009A629B" w:rsidRPr="00533AC3" w:rsidRDefault="001C67C4" w:rsidP="000D3039">
            <w:pPr>
              <w:jc w:val="both"/>
            </w:pPr>
            <w:r>
              <w:t>S5</w:t>
            </w:r>
          </w:p>
        </w:tc>
        <w:tc>
          <w:tcPr>
            <w:tcW w:w="1539" w:type="dxa"/>
          </w:tcPr>
          <w:p w:rsidR="009A629B" w:rsidRPr="00533AC3" w:rsidRDefault="001C67C4" w:rsidP="000D3039">
            <w:pPr>
              <w:jc w:val="both"/>
            </w:pPr>
            <w:r>
              <w:t>S4</w:t>
            </w:r>
          </w:p>
        </w:tc>
        <w:tc>
          <w:tcPr>
            <w:tcW w:w="1539" w:type="dxa"/>
          </w:tcPr>
          <w:p w:rsidR="009A629B" w:rsidRPr="00533AC3" w:rsidRDefault="001C67C4" w:rsidP="000D3039">
            <w:pPr>
              <w:jc w:val="both"/>
            </w:pPr>
            <w:r>
              <w:t>S3</w:t>
            </w:r>
          </w:p>
        </w:tc>
        <w:tc>
          <w:tcPr>
            <w:tcW w:w="1540" w:type="dxa"/>
          </w:tcPr>
          <w:p w:rsidR="009A629B" w:rsidRPr="00533AC3" w:rsidRDefault="001C67C4" w:rsidP="000D3039">
            <w:pPr>
              <w:jc w:val="both"/>
            </w:pPr>
            <w:r>
              <w:t>S2</w:t>
            </w:r>
          </w:p>
        </w:tc>
        <w:tc>
          <w:tcPr>
            <w:tcW w:w="1540" w:type="dxa"/>
          </w:tcPr>
          <w:p w:rsidR="009A629B" w:rsidRPr="00533AC3" w:rsidRDefault="001C67C4" w:rsidP="000D3039">
            <w:pPr>
              <w:jc w:val="both"/>
            </w:pPr>
            <w:r>
              <w:t>S1</w:t>
            </w:r>
          </w:p>
        </w:tc>
      </w:tr>
      <w:tr w:rsidR="00071185" w:rsidRPr="00533AC3" w:rsidTr="000D3039">
        <w:trPr>
          <w:trHeight w:val="722"/>
        </w:trPr>
        <w:tc>
          <w:tcPr>
            <w:tcW w:w="1539" w:type="dxa"/>
          </w:tcPr>
          <w:p w:rsidR="009A629B" w:rsidRPr="00533AC3" w:rsidRDefault="009A629B" w:rsidP="000D3039">
            <w:pPr>
              <w:jc w:val="both"/>
            </w:pPr>
            <w:r w:rsidRPr="00533AC3">
              <w:t>Concentration</w:t>
            </w:r>
          </w:p>
          <w:p w:rsidR="009A629B" w:rsidRPr="00533AC3" w:rsidRDefault="009A629B" w:rsidP="000D3039">
            <w:pPr>
              <w:jc w:val="both"/>
            </w:pPr>
            <w:r w:rsidRPr="00533AC3">
              <w:t>[</w:t>
            </w:r>
            <w:proofErr w:type="gramStart"/>
            <w:r w:rsidR="00071185" w:rsidRPr="00533AC3">
              <w:t>mol</w:t>
            </w:r>
            <w:proofErr w:type="gramEnd"/>
            <w:r w:rsidR="00071185" w:rsidRPr="00533AC3">
              <w:t>/</w:t>
            </w:r>
            <w:r w:rsidRPr="00533AC3">
              <w:t>L]</w:t>
            </w:r>
          </w:p>
        </w:tc>
        <w:tc>
          <w:tcPr>
            <w:tcW w:w="1539" w:type="dxa"/>
          </w:tcPr>
          <w:p w:rsidR="009A629B" w:rsidRPr="00533AC3" w:rsidRDefault="009A629B" w:rsidP="000D3039">
            <w:pPr>
              <w:jc w:val="both"/>
            </w:pPr>
            <w:r w:rsidRPr="00533AC3">
              <w:t>2</w:t>
            </w:r>
            <w:r w:rsidR="00071185" w:rsidRPr="00533AC3">
              <w:t>x10</w:t>
            </w:r>
            <w:r w:rsidR="004F341A">
              <w:rPr>
                <w:vertAlign w:val="superscript"/>
              </w:rPr>
              <w:t>-6</w:t>
            </w:r>
            <w:r w:rsidRPr="00533AC3">
              <w:t xml:space="preserve"> </w:t>
            </w:r>
          </w:p>
        </w:tc>
        <w:tc>
          <w:tcPr>
            <w:tcW w:w="1539" w:type="dxa"/>
          </w:tcPr>
          <w:p w:rsidR="009A629B" w:rsidRPr="00533AC3" w:rsidRDefault="00071185" w:rsidP="000D3039">
            <w:pPr>
              <w:jc w:val="both"/>
            </w:pPr>
            <w:r w:rsidRPr="00533AC3">
              <w:t>4x10</w:t>
            </w:r>
            <w:r w:rsidR="004F341A">
              <w:rPr>
                <w:vertAlign w:val="superscript"/>
              </w:rPr>
              <w:t>-6</w:t>
            </w:r>
          </w:p>
        </w:tc>
        <w:tc>
          <w:tcPr>
            <w:tcW w:w="1539" w:type="dxa"/>
          </w:tcPr>
          <w:p w:rsidR="009A629B" w:rsidRPr="00533AC3" w:rsidRDefault="00071185" w:rsidP="000D3039">
            <w:pPr>
              <w:jc w:val="both"/>
            </w:pPr>
            <w:r w:rsidRPr="00533AC3">
              <w:t>6x10</w:t>
            </w:r>
            <w:r w:rsidR="004F341A">
              <w:rPr>
                <w:vertAlign w:val="superscript"/>
              </w:rPr>
              <w:t>-6</w:t>
            </w:r>
          </w:p>
        </w:tc>
        <w:tc>
          <w:tcPr>
            <w:tcW w:w="1540" w:type="dxa"/>
          </w:tcPr>
          <w:p w:rsidR="009A629B" w:rsidRPr="00533AC3" w:rsidRDefault="00071185" w:rsidP="000D3039">
            <w:pPr>
              <w:jc w:val="both"/>
            </w:pPr>
            <w:r w:rsidRPr="00533AC3">
              <w:t>8x10</w:t>
            </w:r>
            <w:r w:rsidR="004F341A">
              <w:rPr>
                <w:vertAlign w:val="superscript"/>
              </w:rPr>
              <w:t>-6</w:t>
            </w:r>
          </w:p>
        </w:tc>
        <w:tc>
          <w:tcPr>
            <w:tcW w:w="1540" w:type="dxa"/>
          </w:tcPr>
          <w:p w:rsidR="009A629B" w:rsidRPr="00533AC3" w:rsidRDefault="00071185" w:rsidP="000D3039">
            <w:pPr>
              <w:jc w:val="both"/>
            </w:pPr>
            <w:r w:rsidRPr="00533AC3">
              <w:t>10x10</w:t>
            </w:r>
            <w:r w:rsidR="004F341A">
              <w:rPr>
                <w:vertAlign w:val="superscript"/>
              </w:rPr>
              <w:t>-6</w:t>
            </w:r>
          </w:p>
        </w:tc>
      </w:tr>
      <w:tr w:rsidR="00071185" w:rsidRPr="00533AC3" w:rsidTr="000D3039">
        <w:trPr>
          <w:trHeight w:val="722"/>
        </w:trPr>
        <w:tc>
          <w:tcPr>
            <w:tcW w:w="1539" w:type="dxa"/>
          </w:tcPr>
          <w:p w:rsidR="009A629B" w:rsidRPr="00533AC3" w:rsidRDefault="00071185" w:rsidP="000D3039">
            <w:r w:rsidRPr="00533AC3">
              <w:t>Absorbance</w:t>
            </w:r>
            <w:r w:rsidR="009A629B" w:rsidRPr="00533AC3">
              <w:t xml:space="preserve"> </w:t>
            </w:r>
            <w:r w:rsidRPr="00533AC3">
              <w:t>[UA</w:t>
            </w:r>
            <w:r w:rsidR="009A629B" w:rsidRPr="00533AC3">
              <w:t>]</w:t>
            </w:r>
          </w:p>
        </w:tc>
        <w:tc>
          <w:tcPr>
            <w:tcW w:w="1539" w:type="dxa"/>
          </w:tcPr>
          <w:p w:rsidR="009A629B" w:rsidRPr="00533AC3" w:rsidRDefault="009A629B" w:rsidP="000D3039">
            <w:pPr>
              <w:jc w:val="both"/>
            </w:pPr>
          </w:p>
        </w:tc>
        <w:tc>
          <w:tcPr>
            <w:tcW w:w="1539" w:type="dxa"/>
          </w:tcPr>
          <w:p w:rsidR="009A629B" w:rsidRPr="00533AC3" w:rsidRDefault="009A629B" w:rsidP="000D3039">
            <w:pPr>
              <w:jc w:val="both"/>
            </w:pPr>
          </w:p>
        </w:tc>
        <w:tc>
          <w:tcPr>
            <w:tcW w:w="1539" w:type="dxa"/>
          </w:tcPr>
          <w:p w:rsidR="009A629B" w:rsidRPr="00533AC3" w:rsidRDefault="009A629B" w:rsidP="000D3039">
            <w:pPr>
              <w:jc w:val="both"/>
            </w:pPr>
          </w:p>
        </w:tc>
        <w:tc>
          <w:tcPr>
            <w:tcW w:w="1540" w:type="dxa"/>
          </w:tcPr>
          <w:p w:rsidR="009A629B" w:rsidRPr="00533AC3" w:rsidRDefault="009A629B" w:rsidP="000D3039">
            <w:pPr>
              <w:jc w:val="both"/>
            </w:pPr>
          </w:p>
        </w:tc>
        <w:tc>
          <w:tcPr>
            <w:tcW w:w="1540" w:type="dxa"/>
          </w:tcPr>
          <w:p w:rsidR="009A629B" w:rsidRPr="00533AC3" w:rsidRDefault="009A629B" w:rsidP="000D3039">
            <w:pPr>
              <w:jc w:val="both"/>
            </w:pPr>
          </w:p>
        </w:tc>
      </w:tr>
    </w:tbl>
    <w:p w:rsidR="001C67C4" w:rsidRPr="00533AC3" w:rsidRDefault="001C67C4" w:rsidP="009A629B">
      <w:pPr>
        <w:spacing w:after="0"/>
        <w:jc w:val="both"/>
      </w:pPr>
    </w:p>
    <w:p w:rsidR="009A629B" w:rsidRDefault="009A629B" w:rsidP="009A629B">
      <w:pPr>
        <w:spacing w:after="0"/>
        <w:jc w:val="both"/>
      </w:pPr>
    </w:p>
    <w:p w:rsidR="002143B0" w:rsidRDefault="002143B0" w:rsidP="009A629B">
      <w:pPr>
        <w:spacing w:after="0"/>
        <w:jc w:val="both"/>
      </w:pPr>
    </w:p>
    <w:p w:rsidR="001D45CB" w:rsidRDefault="001D45CB" w:rsidP="009A629B">
      <w:pPr>
        <w:spacing w:after="0"/>
        <w:jc w:val="both"/>
      </w:pPr>
    </w:p>
    <w:p w:rsidR="001C67C4" w:rsidRDefault="001C67C4" w:rsidP="009A629B">
      <w:pPr>
        <w:spacing w:after="0"/>
        <w:jc w:val="both"/>
      </w:pPr>
    </w:p>
    <w:p w:rsidR="001C67C4" w:rsidRDefault="001C67C4" w:rsidP="009A629B">
      <w:pPr>
        <w:spacing w:after="0"/>
        <w:jc w:val="both"/>
      </w:pPr>
    </w:p>
    <w:p w:rsidR="001D45CB" w:rsidRDefault="001D45CB" w:rsidP="009A629B">
      <w:pPr>
        <w:spacing w:after="0"/>
        <w:jc w:val="both"/>
      </w:pPr>
      <w:r>
        <w:lastRenderedPageBreak/>
        <w:t xml:space="preserve">On </w:t>
      </w:r>
      <w:r w:rsidR="001C67C4">
        <w:t>trace ensuite</w:t>
      </w:r>
      <w:r>
        <w:t xml:space="preserve"> la droite sur papier millimétré</w:t>
      </w:r>
      <w:r w:rsidR="001C67C4">
        <w:t> :</w:t>
      </w:r>
    </w:p>
    <w:p w:rsidR="00640F8E" w:rsidRDefault="00640F8E" w:rsidP="009A629B">
      <w:pPr>
        <w:spacing w:after="0"/>
        <w:jc w:val="both"/>
      </w:pPr>
    </w:p>
    <w:p w:rsidR="001D45CB" w:rsidRDefault="00640F8E" w:rsidP="009A629B">
      <w:pPr>
        <w:spacing w:after="0"/>
        <w:jc w:val="both"/>
      </w:pPr>
      <w:r>
        <w:rPr>
          <w:noProof/>
        </w:rPr>
        <w:drawing>
          <wp:inline distT="0" distB="0" distL="0" distR="0">
            <wp:extent cx="5760720" cy="4159831"/>
            <wp:effectExtent l="0" t="0" r="0" b="0"/>
            <wp:docPr id="5" name="Image 5" descr="Résultat de recherche d'images pour &quot;papier millimétré canson a imprim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apier millimétré canson a imprim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59831"/>
                    </a:xfrm>
                    <a:prstGeom prst="rect">
                      <a:avLst/>
                    </a:prstGeom>
                    <a:noFill/>
                    <a:ln>
                      <a:noFill/>
                    </a:ln>
                  </pic:spPr>
                </pic:pic>
              </a:graphicData>
            </a:graphic>
          </wp:inline>
        </w:drawing>
      </w:r>
    </w:p>
    <w:p w:rsidR="001C67C4" w:rsidRDefault="001C67C4" w:rsidP="009A629B">
      <w:pPr>
        <w:spacing w:after="0"/>
        <w:jc w:val="both"/>
      </w:pPr>
    </w:p>
    <w:p w:rsidR="001C67C4" w:rsidRDefault="001C67C4" w:rsidP="009A629B">
      <w:pPr>
        <w:spacing w:after="0"/>
        <w:jc w:val="both"/>
      </w:pPr>
    </w:p>
    <w:p w:rsidR="001C67C4" w:rsidRDefault="001C67C4" w:rsidP="009A629B">
      <w:pPr>
        <w:spacing w:after="0"/>
        <w:jc w:val="both"/>
      </w:pPr>
    </w:p>
    <w:p w:rsidR="001C67C4" w:rsidRPr="00533AC3" w:rsidRDefault="001C67C4" w:rsidP="001C67C4">
      <w:pPr>
        <w:spacing w:after="0"/>
        <w:jc w:val="both"/>
      </w:pPr>
      <w:r>
        <w:t>Pour les plus avancés, c</w:t>
      </w:r>
      <w:r w:rsidRPr="00533AC3">
        <w:t>alculer la droite de régression ainsi formée par ces points.</w:t>
      </w:r>
    </w:p>
    <w:p w:rsidR="001C67C4" w:rsidRPr="00533AC3" w:rsidRDefault="001C67C4" w:rsidP="001C67C4">
      <w:pPr>
        <w:spacing w:after="0"/>
        <w:jc w:val="both"/>
      </w:pPr>
      <w:r w:rsidRPr="00533AC3">
        <w:t xml:space="preserve">On rappelle qu’elle est de la forme y = </w:t>
      </w:r>
      <w:proofErr w:type="spellStart"/>
      <w:r w:rsidRPr="00533AC3">
        <w:t>ax</w:t>
      </w:r>
      <w:proofErr w:type="spellEnd"/>
      <w:r w:rsidRPr="00533AC3">
        <w:t xml:space="preserve"> + b avec a = </w:t>
      </w:r>
      <m:oMath>
        <m:r>
          <w:rPr>
            <w:rFonts w:ascii="Cambria Math" w:hAnsi="Cambria Math"/>
          </w:rPr>
          <m:t>cov</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s</m:t>
            </m:r>
          </m:e>
          <m:sub>
            <m:r>
              <w:rPr>
                <w:rFonts w:ascii="Cambria Math" w:hAnsi="Cambria Math"/>
                <w:vertAlign w:val="subscript"/>
              </w:rPr>
              <m:t>x</m:t>
            </m:r>
          </m:sub>
          <m:sup>
            <m:r>
              <w:rPr>
                <w:rFonts w:ascii="Cambria Math" w:hAnsi="Cambria Math"/>
                <w:vertAlign w:val="subscript"/>
              </w:rPr>
              <m:t>2</m:t>
            </m:r>
          </m:sup>
        </m:sSubSup>
      </m:oMath>
      <w:r w:rsidRPr="00533AC3">
        <w:t xml:space="preserve"> et b = </w:t>
      </w:r>
      <m:oMath>
        <m:acc>
          <m:accPr>
            <m:chr m:val="̅"/>
            <m:ctrlPr>
              <w:rPr>
                <w:rFonts w:ascii="Cambria Math" w:hAnsi="Cambria Math"/>
                <w:i/>
              </w:rPr>
            </m:ctrlPr>
          </m:accPr>
          <m:e>
            <m:r>
              <w:rPr>
                <w:rFonts w:ascii="Cambria Math" w:hAnsi="Cambria Math"/>
              </w:rPr>
              <m:t>y</m:t>
            </m:r>
          </m:e>
        </m:acc>
      </m:oMath>
      <w:r w:rsidRPr="00533AC3">
        <w:t xml:space="preserve"> - a</w:t>
      </w:r>
      <m:oMath>
        <m:acc>
          <m:accPr>
            <m:chr m:val="̅"/>
            <m:ctrlPr>
              <w:rPr>
                <w:rFonts w:ascii="Cambria Math" w:hAnsi="Cambria Math"/>
                <w:i/>
              </w:rPr>
            </m:ctrlPr>
          </m:accPr>
          <m:e>
            <m:r>
              <w:rPr>
                <w:rFonts w:ascii="Cambria Math" w:hAnsi="Cambria Math"/>
              </w:rPr>
              <m:t>x</m:t>
            </m:r>
          </m:e>
        </m:acc>
      </m:oMath>
      <w:r w:rsidRPr="00533AC3">
        <w:t>.</w:t>
      </w:r>
    </w:p>
    <w:p w:rsidR="001C67C4" w:rsidRDefault="001C67C4" w:rsidP="001C67C4">
      <w:pPr>
        <w:spacing w:after="0"/>
        <w:jc w:val="both"/>
      </w:pPr>
      <w:r w:rsidRPr="00533AC3">
        <w:t xml:space="preserve">On </w:t>
      </w:r>
      <w:r>
        <w:t>donne</w:t>
      </w:r>
      <w:r w:rsidRPr="00533AC3">
        <w:t xml:space="preserve"> les formules suivantes :</w:t>
      </w:r>
    </w:p>
    <w:p w:rsidR="001C67C4" w:rsidRPr="00533AC3" w:rsidRDefault="001C67C4" w:rsidP="001C67C4">
      <w:pPr>
        <w:spacing w:after="0"/>
        <w:jc w:val="both"/>
      </w:pPr>
    </w:p>
    <w:p w:rsidR="001C67C4" w:rsidRPr="00533AC3" w:rsidRDefault="001C67C4" w:rsidP="001C67C4">
      <w:pPr>
        <w:spacing w:after="0"/>
        <w:jc w:val="center"/>
      </w:pPr>
      <w:r w:rsidRPr="00533AC3">
        <w:rPr>
          <w:noProof/>
        </w:rPr>
        <w:drawing>
          <wp:inline distT="0" distB="0" distL="0" distR="0" wp14:anchorId="4E218593" wp14:editId="770E3888">
            <wp:extent cx="4544395" cy="84556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9840" cy="865182"/>
                    </a:xfrm>
                    <a:prstGeom prst="rect">
                      <a:avLst/>
                    </a:prstGeom>
                  </pic:spPr>
                </pic:pic>
              </a:graphicData>
            </a:graphic>
          </wp:inline>
        </w:drawing>
      </w:r>
    </w:p>
    <w:p w:rsidR="001C67C4" w:rsidRPr="00533AC3" w:rsidRDefault="001C67C4" w:rsidP="001C67C4">
      <w:pPr>
        <w:spacing w:after="0"/>
        <w:jc w:val="both"/>
      </w:pPr>
    </w:p>
    <w:p w:rsidR="001C67C4" w:rsidRDefault="001C67C4" w:rsidP="009A629B">
      <w:pPr>
        <w:spacing w:after="0"/>
        <w:jc w:val="both"/>
      </w:pPr>
    </w:p>
    <w:p w:rsidR="00605350" w:rsidRDefault="00605350" w:rsidP="009A629B">
      <w:pPr>
        <w:spacing w:after="0"/>
        <w:jc w:val="both"/>
      </w:pPr>
    </w:p>
    <w:p w:rsidR="00605350" w:rsidRDefault="00605350" w:rsidP="009A629B">
      <w:pPr>
        <w:spacing w:after="0"/>
        <w:jc w:val="both"/>
      </w:pPr>
      <w:r>
        <w:t>Trouver alors la concentration en mol/L du bleu pat</w:t>
      </w:r>
      <w:r w:rsidR="001C67C4">
        <w:t>enté V dans la solution de 50mL grâce à la droite d’étalonnage.</w:t>
      </w:r>
    </w:p>
    <w:p w:rsidR="001C67C4" w:rsidRDefault="001C67C4" w:rsidP="009A629B">
      <w:pPr>
        <w:spacing w:after="0"/>
        <w:jc w:val="both"/>
      </w:pPr>
    </w:p>
    <w:p w:rsidR="001C67C4" w:rsidRDefault="001C67C4" w:rsidP="009A629B">
      <w:pPr>
        <w:spacing w:after="0"/>
        <w:jc w:val="both"/>
      </w:pPr>
    </w:p>
    <w:p w:rsidR="001C67C4" w:rsidRDefault="001C67C4" w:rsidP="009A629B">
      <w:pPr>
        <w:spacing w:after="0"/>
        <w:jc w:val="both"/>
      </w:pPr>
    </w:p>
    <w:p w:rsidR="00605350" w:rsidRPr="00533AC3" w:rsidRDefault="00605350" w:rsidP="009A629B">
      <w:pPr>
        <w:spacing w:after="0"/>
        <w:jc w:val="both"/>
      </w:pPr>
    </w:p>
    <w:p w:rsidR="009A629B" w:rsidRPr="00533AC3" w:rsidRDefault="009A629B" w:rsidP="009A629B">
      <w:pPr>
        <w:pStyle w:val="Titre"/>
        <w:rPr>
          <w:sz w:val="44"/>
          <w:szCs w:val="44"/>
        </w:rPr>
      </w:pPr>
      <w:r w:rsidRPr="00533AC3">
        <w:rPr>
          <w:sz w:val="44"/>
          <w:szCs w:val="44"/>
        </w:rPr>
        <w:lastRenderedPageBreak/>
        <w:t>Analys</w:t>
      </w:r>
      <w:r w:rsidR="00533AC3">
        <w:rPr>
          <w:sz w:val="44"/>
          <w:szCs w:val="44"/>
        </w:rPr>
        <w:t>e</w:t>
      </w:r>
    </w:p>
    <w:p w:rsidR="001C67C4" w:rsidRPr="001C67C4" w:rsidRDefault="001D45CB" w:rsidP="001D45CB">
      <w:pPr>
        <w:spacing w:after="0"/>
        <w:rPr>
          <w:i/>
        </w:rPr>
      </w:pPr>
      <w:r>
        <w:t xml:space="preserve">Déterminer la masse de bleu patenté V contenu dans </w:t>
      </w:r>
      <w:r w:rsidR="0037370B">
        <w:t>un</w:t>
      </w:r>
      <w:r>
        <w:t xml:space="preserve"> bonbon. On donne la masse molaire du bleu patenté : </w:t>
      </w:r>
      <w:r w:rsidR="004F341A">
        <w:rPr>
          <w:i/>
        </w:rPr>
        <w:t>M = 58</w:t>
      </w:r>
      <w:r w:rsidRPr="001D45CB">
        <w:rPr>
          <w:i/>
        </w:rPr>
        <w:t>0 g/mol</w:t>
      </w:r>
    </w:p>
    <w:p w:rsidR="007F7132" w:rsidRPr="001D45CB" w:rsidRDefault="001D45CB">
      <w:r w:rsidRPr="001D45CB">
        <w:t xml:space="preserve">Combien de bonbons par jour </w:t>
      </w:r>
      <w:r w:rsidR="001C67C4">
        <w:t>un adulte de 70kg peut-il</w:t>
      </w:r>
      <w:r w:rsidRPr="001D45CB">
        <w:t xml:space="preserve"> manger si on veut respecter la DJA</w:t>
      </w:r>
      <w:r w:rsidR="00A37D29">
        <w:t>, sachant que celle-ci vaut 2.5mg/kg</w:t>
      </w:r>
      <w:r w:rsidRPr="001D45CB">
        <w:t xml:space="preserve"> ?</w:t>
      </w:r>
      <w:r w:rsidR="001C67C4">
        <w:t xml:space="preserve"> La quantité présente dans ces bonbons est-elle correcte selon vous ?</w:t>
      </w:r>
    </w:p>
    <w:sectPr w:rsidR="007F7132" w:rsidRPr="001D4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D4258"/>
    <w:multiLevelType w:val="hybridMultilevel"/>
    <w:tmpl w:val="CD4EB194"/>
    <w:lvl w:ilvl="0" w:tplc="F4EEE4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68105D7"/>
    <w:multiLevelType w:val="hybridMultilevel"/>
    <w:tmpl w:val="A4BA0816"/>
    <w:lvl w:ilvl="0" w:tplc="C39A9B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B"/>
    <w:rsid w:val="00071185"/>
    <w:rsid w:val="0009636D"/>
    <w:rsid w:val="000D3039"/>
    <w:rsid w:val="001C67C4"/>
    <w:rsid w:val="001D45CB"/>
    <w:rsid w:val="002143B0"/>
    <w:rsid w:val="0037370B"/>
    <w:rsid w:val="004F341A"/>
    <w:rsid w:val="00533AC3"/>
    <w:rsid w:val="00605350"/>
    <w:rsid w:val="00640F8E"/>
    <w:rsid w:val="006A2766"/>
    <w:rsid w:val="0078377B"/>
    <w:rsid w:val="007F7132"/>
    <w:rsid w:val="00885B36"/>
    <w:rsid w:val="008A5093"/>
    <w:rsid w:val="008B101F"/>
    <w:rsid w:val="009A629B"/>
    <w:rsid w:val="00A37D29"/>
    <w:rsid w:val="00F316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5AEBB-CF82-45C4-8B46-B7E12EA7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29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62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A629B"/>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9A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A629B"/>
    <w:pPr>
      <w:ind w:left="720"/>
      <w:contextualSpacing/>
    </w:pPr>
  </w:style>
  <w:style w:type="character" w:styleId="Lienhypertexte">
    <w:name w:val="Hyperlink"/>
    <w:basedOn w:val="Policepardfaut"/>
    <w:uiPriority w:val="99"/>
    <w:semiHidden/>
    <w:unhideWhenUsed/>
    <w:rsid w:val="00F3164A"/>
    <w:rPr>
      <w:color w:val="0000FF"/>
      <w:u w:val="single"/>
    </w:rPr>
  </w:style>
  <w:style w:type="character" w:styleId="Textedelespacerserv">
    <w:name w:val="Placeholder Text"/>
    <w:basedOn w:val="Policepardfaut"/>
    <w:uiPriority w:val="99"/>
    <w:semiHidden/>
    <w:rsid w:val="00533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16349">
      <w:bodyDiv w:val="1"/>
      <w:marLeft w:val="0"/>
      <w:marRight w:val="0"/>
      <w:marTop w:val="0"/>
      <w:marBottom w:val="0"/>
      <w:divBdr>
        <w:top w:val="none" w:sz="0" w:space="0" w:color="auto"/>
        <w:left w:val="none" w:sz="0" w:space="0" w:color="auto"/>
        <w:bottom w:val="none" w:sz="0" w:space="0" w:color="auto"/>
        <w:right w:val="none" w:sz="0" w:space="0" w:color="auto"/>
      </w:divBdr>
      <w:divsChild>
        <w:div w:id="219753076">
          <w:marLeft w:val="0"/>
          <w:marRight w:val="0"/>
          <w:marTop w:val="0"/>
          <w:marBottom w:val="0"/>
          <w:divBdr>
            <w:top w:val="none" w:sz="0" w:space="0" w:color="auto"/>
            <w:left w:val="none" w:sz="0" w:space="0" w:color="auto"/>
            <w:bottom w:val="none" w:sz="0" w:space="0" w:color="auto"/>
            <w:right w:val="none" w:sz="0" w:space="0" w:color="auto"/>
          </w:divBdr>
        </w:div>
        <w:div w:id="275601453">
          <w:marLeft w:val="0"/>
          <w:marRight w:val="0"/>
          <w:marTop w:val="0"/>
          <w:marBottom w:val="0"/>
          <w:divBdr>
            <w:top w:val="none" w:sz="0" w:space="0" w:color="auto"/>
            <w:left w:val="none" w:sz="0" w:space="0" w:color="auto"/>
            <w:bottom w:val="none" w:sz="0" w:space="0" w:color="auto"/>
            <w:right w:val="none" w:sz="0" w:space="0" w:color="auto"/>
          </w:divBdr>
        </w:div>
        <w:div w:id="292684998">
          <w:marLeft w:val="0"/>
          <w:marRight w:val="0"/>
          <w:marTop w:val="0"/>
          <w:marBottom w:val="0"/>
          <w:divBdr>
            <w:top w:val="none" w:sz="0" w:space="0" w:color="auto"/>
            <w:left w:val="none" w:sz="0" w:space="0" w:color="auto"/>
            <w:bottom w:val="none" w:sz="0" w:space="0" w:color="auto"/>
            <w:right w:val="none" w:sz="0" w:space="0" w:color="auto"/>
          </w:divBdr>
        </w:div>
        <w:div w:id="337776266">
          <w:marLeft w:val="0"/>
          <w:marRight w:val="0"/>
          <w:marTop w:val="0"/>
          <w:marBottom w:val="0"/>
          <w:divBdr>
            <w:top w:val="none" w:sz="0" w:space="0" w:color="auto"/>
            <w:left w:val="none" w:sz="0" w:space="0" w:color="auto"/>
            <w:bottom w:val="none" w:sz="0" w:space="0" w:color="auto"/>
            <w:right w:val="none" w:sz="0" w:space="0" w:color="auto"/>
          </w:divBdr>
        </w:div>
        <w:div w:id="399669112">
          <w:marLeft w:val="0"/>
          <w:marRight w:val="0"/>
          <w:marTop w:val="0"/>
          <w:marBottom w:val="0"/>
          <w:divBdr>
            <w:top w:val="none" w:sz="0" w:space="0" w:color="auto"/>
            <w:left w:val="none" w:sz="0" w:space="0" w:color="auto"/>
            <w:bottom w:val="none" w:sz="0" w:space="0" w:color="auto"/>
            <w:right w:val="none" w:sz="0" w:space="0" w:color="auto"/>
          </w:divBdr>
        </w:div>
        <w:div w:id="440683342">
          <w:marLeft w:val="0"/>
          <w:marRight w:val="0"/>
          <w:marTop w:val="0"/>
          <w:marBottom w:val="0"/>
          <w:divBdr>
            <w:top w:val="none" w:sz="0" w:space="0" w:color="auto"/>
            <w:left w:val="none" w:sz="0" w:space="0" w:color="auto"/>
            <w:bottom w:val="none" w:sz="0" w:space="0" w:color="auto"/>
            <w:right w:val="none" w:sz="0" w:space="0" w:color="auto"/>
          </w:divBdr>
        </w:div>
        <w:div w:id="619646317">
          <w:marLeft w:val="0"/>
          <w:marRight w:val="0"/>
          <w:marTop w:val="0"/>
          <w:marBottom w:val="0"/>
          <w:divBdr>
            <w:top w:val="none" w:sz="0" w:space="0" w:color="auto"/>
            <w:left w:val="none" w:sz="0" w:space="0" w:color="auto"/>
            <w:bottom w:val="none" w:sz="0" w:space="0" w:color="auto"/>
            <w:right w:val="none" w:sz="0" w:space="0" w:color="auto"/>
          </w:divBdr>
        </w:div>
        <w:div w:id="777288296">
          <w:marLeft w:val="0"/>
          <w:marRight w:val="0"/>
          <w:marTop w:val="0"/>
          <w:marBottom w:val="0"/>
          <w:divBdr>
            <w:top w:val="none" w:sz="0" w:space="0" w:color="auto"/>
            <w:left w:val="none" w:sz="0" w:space="0" w:color="auto"/>
            <w:bottom w:val="none" w:sz="0" w:space="0" w:color="auto"/>
            <w:right w:val="none" w:sz="0" w:space="0" w:color="auto"/>
          </w:divBdr>
        </w:div>
        <w:div w:id="1238251982">
          <w:marLeft w:val="0"/>
          <w:marRight w:val="0"/>
          <w:marTop w:val="0"/>
          <w:marBottom w:val="0"/>
          <w:divBdr>
            <w:top w:val="none" w:sz="0" w:space="0" w:color="auto"/>
            <w:left w:val="none" w:sz="0" w:space="0" w:color="auto"/>
            <w:bottom w:val="none" w:sz="0" w:space="0" w:color="auto"/>
            <w:right w:val="none" w:sz="0" w:space="0" w:color="auto"/>
          </w:divBdr>
        </w:div>
        <w:div w:id="1261715320">
          <w:marLeft w:val="0"/>
          <w:marRight w:val="0"/>
          <w:marTop w:val="0"/>
          <w:marBottom w:val="0"/>
          <w:divBdr>
            <w:top w:val="none" w:sz="0" w:space="0" w:color="auto"/>
            <w:left w:val="none" w:sz="0" w:space="0" w:color="auto"/>
            <w:bottom w:val="none" w:sz="0" w:space="0" w:color="auto"/>
            <w:right w:val="none" w:sz="0" w:space="0" w:color="auto"/>
          </w:divBdr>
        </w:div>
        <w:div w:id="1431463011">
          <w:marLeft w:val="0"/>
          <w:marRight w:val="0"/>
          <w:marTop w:val="0"/>
          <w:marBottom w:val="0"/>
          <w:divBdr>
            <w:top w:val="none" w:sz="0" w:space="0" w:color="auto"/>
            <w:left w:val="none" w:sz="0" w:space="0" w:color="auto"/>
            <w:bottom w:val="none" w:sz="0" w:space="0" w:color="auto"/>
            <w:right w:val="none" w:sz="0" w:space="0" w:color="auto"/>
          </w:divBdr>
        </w:div>
        <w:div w:id="1609896728">
          <w:marLeft w:val="0"/>
          <w:marRight w:val="0"/>
          <w:marTop w:val="0"/>
          <w:marBottom w:val="0"/>
          <w:divBdr>
            <w:top w:val="none" w:sz="0" w:space="0" w:color="auto"/>
            <w:left w:val="none" w:sz="0" w:space="0" w:color="auto"/>
            <w:bottom w:val="none" w:sz="0" w:space="0" w:color="auto"/>
            <w:right w:val="none" w:sz="0" w:space="0" w:color="auto"/>
          </w:divBdr>
        </w:div>
        <w:div w:id="1713460473">
          <w:marLeft w:val="0"/>
          <w:marRight w:val="0"/>
          <w:marTop w:val="0"/>
          <w:marBottom w:val="0"/>
          <w:divBdr>
            <w:top w:val="none" w:sz="0" w:space="0" w:color="auto"/>
            <w:left w:val="none" w:sz="0" w:space="0" w:color="auto"/>
            <w:bottom w:val="none" w:sz="0" w:space="0" w:color="auto"/>
            <w:right w:val="none" w:sz="0" w:space="0" w:color="auto"/>
          </w:divBdr>
        </w:div>
        <w:div w:id="1886604180">
          <w:marLeft w:val="0"/>
          <w:marRight w:val="0"/>
          <w:marTop w:val="0"/>
          <w:marBottom w:val="0"/>
          <w:divBdr>
            <w:top w:val="none" w:sz="0" w:space="0" w:color="auto"/>
            <w:left w:val="none" w:sz="0" w:space="0" w:color="auto"/>
            <w:bottom w:val="none" w:sz="0" w:space="0" w:color="auto"/>
            <w:right w:val="none" w:sz="0" w:space="0" w:color="auto"/>
          </w:divBdr>
        </w:div>
        <w:div w:id="2047246199">
          <w:marLeft w:val="0"/>
          <w:marRight w:val="0"/>
          <w:marTop w:val="0"/>
          <w:marBottom w:val="0"/>
          <w:divBdr>
            <w:top w:val="none" w:sz="0" w:space="0" w:color="auto"/>
            <w:left w:val="none" w:sz="0" w:space="0" w:color="auto"/>
            <w:bottom w:val="none" w:sz="0" w:space="0" w:color="auto"/>
            <w:right w:val="none" w:sz="0" w:space="0" w:color="auto"/>
          </w:divBdr>
        </w:div>
      </w:divsChild>
    </w:div>
    <w:div w:id="1278483429">
      <w:bodyDiv w:val="1"/>
      <w:marLeft w:val="0"/>
      <w:marRight w:val="0"/>
      <w:marTop w:val="0"/>
      <w:marBottom w:val="0"/>
      <w:divBdr>
        <w:top w:val="none" w:sz="0" w:space="0" w:color="auto"/>
        <w:left w:val="none" w:sz="0" w:space="0" w:color="auto"/>
        <w:bottom w:val="none" w:sz="0" w:space="0" w:color="auto"/>
        <w:right w:val="none" w:sz="0" w:space="0" w:color="auto"/>
      </w:divBdr>
      <w:divsChild>
        <w:div w:id="282461460">
          <w:marLeft w:val="0"/>
          <w:marRight w:val="0"/>
          <w:marTop w:val="0"/>
          <w:marBottom w:val="0"/>
          <w:divBdr>
            <w:top w:val="none" w:sz="0" w:space="0" w:color="auto"/>
            <w:left w:val="none" w:sz="0" w:space="0" w:color="auto"/>
            <w:bottom w:val="none" w:sz="0" w:space="0" w:color="auto"/>
            <w:right w:val="none" w:sz="0" w:space="0" w:color="auto"/>
          </w:divBdr>
        </w:div>
        <w:div w:id="96862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2051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2017-08-23T14:22:00Z</dcterms:created>
  <dcterms:modified xsi:type="dcterms:W3CDTF">2017-08-23T14:22:00Z</dcterms:modified>
</cp:coreProperties>
</file>