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008F5A"/>
          <w:sz w:val="50"/>
        </w:rPr>
        <w:t>Informe técnico de alineación</w:t>
        <w:br/>
      </w:r>
      <w:r>
        <w:rPr>
          <w:b/>
          <w:color w:val="1E2523"/>
          <w:sz w:val="32"/>
        </w:rPr>
        <w:t>Repositorio `football-predictions` + integración oficial con Sportmonks Football API</w:t>
        <w:br/>
      </w:r>
    </w:p>
    <w:p>
      <w:pPr>
        <w:pStyle w:val="Subtitle"/>
        <w:spacing w:before="160" w:after="0"/>
      </w:pPr>
      <w:r>
        <w:t>Objetivo: definir exactamente qué debe implementar la aplicación para quedar alineada con la documentación oficial de la API, reducir errores de integración y soportar un sistema claro de Value Bets en el mercado general.</w:t>
      </w:r>
    </w:p>
    <w:tbl>
      <w:tblPr>
        <w:tblW w:type="auto" w:w="0"/>
        <w:jc w:val="left"/>
        <w:tblLayout w:type="fixed"/>
        <w:tblLook w:firstColumn="1" w:firstRow="1" w:lastColumn="0" w:lastRow="0" w:noHBand="0" w:noVBand="1" w:val="04A0"/>
        <w:tblBorders>
          <w:top w:val="single" w:sz="8" w:space="0" w:color="D7E8E0"/>
          <w:left w:val="single" w:sz="8" w:space="0" w:color="D7E8E0"/>
          <w:bottom w:val="single" w:sz="8" w:space="0" w:color="D7E8E0"/>
          <w:right w:val="single" w:sz="8" w:space="0" w:color="D7E8E0"/>
          <w:insideH w:val="single" w:sz="8" w:space="0" w:color="D7E8E0"/>
          <w:insideV w:val="single" w:sz="8" w:space="0" w:color="D7E8E0"/>
        </w:tblBorders>
      </w:tblPr>
      <w:tblGrid>
        <w:gridCol w:w="2592"/>
        <w:gridCol w:w="6624"/>
      </w:tblGrid>
      <w:tr>
        <w:tc>
          <w:tcPr>
            <w:tcW w:type="dxa" w:w="4896"/>
            <w:tcMar>
              <w:top w:w="80" w:type="dxa"/>
              <w:start w:w="100" w:type="dxa"/>
              <w:bottom w:w="80" w:type="dxa"/>
              <w:end w:w="100" w:type="dxa"/>
            </w:tcMar>
            <w:vAlign w:val="center"/>
            <w:shd w:fill="E4F3ED"/>
          </w:tcPr>
          <w:p>
            <w:r>
              <w:rPr>
                <w:b/>
                <w:color w:val="1E2523"/>
              </w:rPr>
              <w:t>Base de análisis</w:t>
            </w:r>
          </w:p>
        </w:tc>
        <w:tc>
          <w:tcPr>
            <w:tcW w:type="dxa" w:w="4896"/>
            <w:tcMar>
              <w:top w:w="80" w:type="dxa"/>
              <w:start w:w="100" w:type="dxa"/>
              <w:bottom w:w="80" w:type="dxa"/>
              <w:end w:w="100" w:type="dxa"/>
            </w:tcMar>
            <w:vAlign w:val="center"/>
          </w:tcPr>
          <w:p>
            <w:r>
              <w:t>Documentación oficial de Sportmonks verificada y revisión del repositorio.</w:t>
            </w:r>
          </w:p>
        </w:tc>
      </w:tr>
      <w:tr>
        <w:tc>
          <w:tcPr>
            <w:tcW w:type="dxa" w:w="4896"/>
            <w:tcMar>
              <w:top w:w="80" w:type="dxa"/>
              <w:start w:w="100" w:type="dxa"/>
              <w:bottom w:w="80" w:type="dxa"/>
              <w:end w:w="100" w:type="dxa"/>
            </w:tcMar>
            <w:vAlign w:val="center"/>
            <w:shd w:fill="E4F3ED"/>
          </w:tcPr>
          <w:p>
            <w:r>
              <w:rPr>
                <w:b/>
                <w:color w:val="1E2523"/>
              </w:rPr>
              <w:t>Alcance</w:t>
            </w:r>
          </w:p>
        </w:tc>
        <w:tc>
          <w:tcPr>
            <w:tcW w:type="dxa" w:w="4896"/>
            <w:tcMar>
              <w:top w:w="80" w:type="dxa"/>
              <w:start w:w="100" w:type="dxa"/>
              <w:bottom w:w="80" w:type="dxa"/>
              <w:end w:w="100" w:type="dxa"/>
            </w:tcMar>
            <w:vAlign w:val="center"/>
          </w:tcPr>
          <w:p>
            <w:r>
              <w:t>Predictions, Value Bets, includes, rate limits, estructura de datos y UI/UX del listado general.</w:t>
            </w:r>
          </w:p>
        </w:tc>
      </w:tr>
      <w:tr>
        <w:tc>
          <w:tcPr>
            <w:tcW w:type="dxa" w:w="4896"/>
            <w:tcMar>
              <w:top w:w="80" w:type="dxa"/>
              <w:start w:w="100" w:type="dxa"/>
              <w:bottom w:w="80" w:type="dxa"/>
              <w:end w:w="100" w:type="dxa"/>
            </w:tcMar>
            <w:vAlign w:val="center"/>
            <w:shd w:fill="E4F3ED"/>
          </w:tcPr>
          <w:p>
            <w:r>
              <w:rPr>
                <w:b/>
                <w:color w:val="1E2523"/>
              </w:rPr>
              <w:t>Criterio rector</w:t>
            </w:r>
          </w:p>
        </w:tc>
        <w:tc>
          <w:tcPr>
            <w:tcW w:type="dxa" w:w="4896"/>
            <w:tcMar>
              <w:top w:w="80" w:type="dxa"/>
              <w:start w:w="100" w:type="dxa"/>
              <w:bottom w:w="80" w:type="dxa"/>
              <w:end w:w="100" w:type="dxa"/>
            </w:tcMar>
            <w:vAlign w:val="center"/>
          </w:tcPr>
          <w:p>
            <w:r>
              <w:t>No se proponen campos ni comportamientos como si fueran oficiales cuando en realidad son derivados internos.</w:t>
            </w:r>
          </w:p>
        </w:tc>
      </w:tr>
      <w:tr>
        <w:tc>
          <w:tcPr>
            <w:tcW w:type="dxa" w:w="4896"/>
            <w:tcMar>
              <w:top w:w="80" w:type="dxa"/>
              <w:start w:w="100" w:type="dxa"/>
              <w:bottom w:w="80" w:type="dxa"/>
              <w:end w:w="100" w:type="dxa"/>
            </w:tcMar>
            <w:vAlign w:val="center"/>
            <w:shd w:fill="E4F3ED"/>
          </w:tcPr>
          <w:p>
            <w:r>
              <w:rPr>
                <w:b/>
                <w:color w:val="1E2523"/>
              </w:rPr>
              <w:t>Fecha</w:t>
            </w:r>
          </w:p>
        </w:tc>
        <w:tc>
          <w:tcPr>
            <w:tcW w:type="dxa" w:w="4896"/>
            <w:tcMar>
              <w:top w:w="80" w:type="dxa"/>
              <w:start w:w="100" w:type="dxa"/>
              <w:bottom w:w="80" w:type="dxa"/>
              <w:end w:w="100" w:type="dxa"/>
            </w:tcMar>
            <w:vAlign w:val="center"/>
          </w:tcPr>
          <w:p>
            <w:r>
              <w:t>5 de abril de 2026</w:t>
            </w:r>
          </w:p>
        </w:tc>
      </w:tr>
    </w:tbl>
    <w:p>
      <w:pPr>
        <w:spacing w:before="360" w:after="0"/>
      </w:pPr>
      <w:r>
        <w:rPr>
          <w:b/>
          <w:color w:val="008F5A"/>
        </w:rPr>
        <w:t xml:space="preserve">Dictamen ejecutivo: </w:t>
      </w:r>
      <w:r>
        <w:t>el repositorio tiene una base visual válida, pero todavía debe corregir el contrato de datos, la selección de endpoints, la normalización de predicciones y la separación entre datos oficiales y métricas derivadas antes de considerarse alineado con Sportmonks.</w:t>
      </w:r>
    </w:p>
    <w:p>
      <w:r>
        <w:br w:type="page"/>
      </w:r>
    </w:p>
    <w:p>
      <w:pPr>
        <w:pStyle w:val="Heading1"/>
        <w:spacing w:before="280" w:after="80"/>
      </w:pPr>
      <w:r>
        <w:t>1. Alcance exacto del informe</w:t>
      </w:r>
    </w:p>
    <w:p>
      <w:pPr>
        <w:spacing w:after="120"/>
      </w:pPr>
      <w:r>
        <w:t>Este documento define, con base exclusiva en la documentación oficial de Sportmonks y en la revisión del repositorio analizado, qué debe implementarse para que la aplicación quede técnicamente alineada con la API y evite errores funcionales, errores semánticos y errores de contrato de datos.</w:t>
      </w:r>
    </w:p>
    <w:p>
      <w:pPr>
        <w:spacing w:after="60"/>
        <w:ind w:left="288" w:hanging="259"/>
      </w:pPr>
      <w:r>
        <w:rPr>
          <w:b/>
        </w:rPr>
        <w:t xml:space="preserve">• </w:t>
      </w:r>
      <w:r>
        <w:rPr>
          <w:b/>
        </w:rPr>
        <w:t xml:space="preserve">Sí incluye: </w:t>
      </w:r>
      <w:r>
        <w:t>selección de endpoints, includes, normalización de datos, separación entre probabilidades y value bets, reglas de UI/UX, estructura del dashboard general y backlog por archivos del repositorio.</w:t>
      </w:r>
    </w:p>
    <w:p>
      <w:pPr>
        <w:spacing w:after="60"/>
        <w:ind w:left="288" w:hanging="259"/>
      </w:pPr>
      <w:r>
        <w:rPr>
          <w:b/>
        </w:rPr>
        <w:t xml:space="preserve">• </w:t>
      </w:r>
      <w:r>
        <w:rPr>
          <w:b/>
        </w:rPr>
        <w:t xml:space="preserve">No incluye: </w:t>
      </w:r>
      <w:r>
        <w:t>suposiciones no documentadas como presentar campos internos como si fueran oficiales, llamar “Kelly” a un valor que la documentación no nombra así, o asumir que todos los partidos tendrán predicciones o value bets.</w:t>
      </w:r>
    </w:p>
    <w:p>
      <w:pPr>
        <w:pStyle w:val="Heading1"/>
        <w:spacing w:before="280" w:after="80"/>
      </w:pPr>
      <w:r>
        <w:t>2. Hechos oficiales que deben gobernar la implementación</w:t>
      </w:r>
    </w:p>
    <w:p>
      <w:pPr>
        <w:spacing w:after="60"/>
        <w:ind w:left="288" w:hanging="259"/>
      </w:pPr>
      <w:r>
        <w:rPr>
          <w:b/>
        </w:rPr>
        <w:t xml:space="preserve">• </w:t>
      </w:r>
      <w:r>
        <w:rPr>
          <w:b/>
        </w:rPr>
        <w:t xml:space="preserve">Plan base mínimo viable: </w:t>
      </w:r>
      <w:r>
        <w:t>Starter, con 5 ligas y 2.000 API calls por entidad por hora.</w:t>
      </w:r>
    </w:p>
    <w:p>
      <w:pPr>
        <w:spacing w:after="60"/>
        <w:ind w:left="288" w:hanging="259"/>
      </w:pPr>
      <w:r>
        <w:rPr>
          <w:b/>
        </w:rPr>
        <w:t xml:space="preserve">• </w:t>
      </w:r>
      <w:r>
        <w:rPr>
          <w:b/>
        </w:rPr>
        <w:t xml:space="preserve">Predicciones: </w:t>
      </w:r>
      <w:r>
        <w:t>se ofrecen mediante el módulo/bundle de Odds &amp; Predictions; no deben asumirse como parte del plan base si no está activo.</w:t>
      </w:r>
    </w:p>
    <w:p>
      <w:pPr>
        <w:spacing w:after="60"/>
        <w:ind w:left="288" w:hanging="259"/>
      </w:pPr>
      <w:r>
        <w:rPr>
          <w:b/>
        </w:rPr>
        <w:t xml:space="preserve">• </w:t>
      </w:r>
      <w:r>
        <w:rPr>
          <w:b/>
        </w:rPr>
        <w:t xml:space="preserve">Horizonte de disponibilidad: </w:t>
      </w:r>
      <w:r>
        <w:t>las probabilidades están disponibles hasta 21 días antes del inicio del partido.</w:t>
      </w:r>
    </w:p>
    <w:p>
      <w:pPr>
        <w:spacing w:after="60"/>
        <w:ind w:left="288" w:hanging="259"/>
      </w:pPr>
      <w:r>
        <w:rPr>
          <w:b/>
        </w:rPr>
        <w:t xml:space="preserve">• </w:t>
      </w:r>
      <w:r>
        <w:rPr>
          <w:b/>
        </w:rPr>
        <w:t xml:space="preserve">Predictabilidad: </w:t>
      </w:r>
      <w:r>
        <w:t>no todos los fixtures son aptos para predicción; la documentación indica revisar `metadata.predictable`.</w:t>
      </w:r>
    </w:p>
    <w:p>
      <w:pPr>
        <w:spacing w:after="60"/>
        <w:ind w:left="288" w:hanging="259"/>
      </w:pPr>
      <w:r>
        <w:rPr>
          <w:b/>
        </w:rPr>
        <w:t xml:space="preserve">• </w:t>
      </w:r>
      <w:r>
        <w:rPr>
          <w:b/>
        </w:rPr>
        <w:t xml:space="preserve">Value Bets: </w:t>
      </w:r>
      <w:r>
        <w:t>no todos los partidos tienen value bets; existen endpoints específicos para todos los value bets y por fixture.</w:t>
      </w:r>
    </w:p>
    <w:p>
      <w:pPr>
        <w:spacing w:after="60"/>
        <w:ind w:left="288" w:hanging="259"/>
      </w:pPr>
      <w:r>
        <w:rPr>
          <w:b/>
        </w:rPr>
        <w:t xml:space="preserve">• </w:t>
      </w:r>
      <w:r>
        <w:rPr>
          <w:b/>
        </w:rPr>
        <w:t xml:space="preserve">Campos documentados en Value Bets: </w:t>
      </w:r>
      <w:r>
        <w:t>`bet`, `bookmaker`, `odd`, `is_value`, `stake`, `fair_odd`.</w:t>
      </w:r>
    </w:p>
    <w:p>
      <w:pPr>
        <w:spacing w:after="60"/>
        <w:ind w:left="288" w:hanging="259"/>
      </w:pPr>
      <w:r>
        <w:rPr>
          <w:b/>
        </w:rPr>
        <w:t xml:space="preserve">• </w:t>
      </w:r>
      <w:r>
        <w:rPr>
          <w:b/>
        </w:rPr>
        <w:t xml:space="preserve">Includes: </w:t>
      </w:r>
      <w:r>
        <w:t>deben usarse para reducir llamadas y traer relaciones en una sola respuesta.</w:t>
      </w:r>
    </w:p>
    <w:p>
      <w:pPr>
        <w:spacing w:after="60"/>
        <w:ind w:left="288" w:hanging="259"/>
      </w:pPr>
      <w:r>
        <w:rPr>
          <w:b/>
        </w:rPr>
        <w:t xml:space="preserve">• </w:t>
      </w:r>
      <w:r>
        <w:rPr>
          <w:b/>
        </w:rPr>
        <w:t xml:space="preserve">Rate limit: </w:t>
      </w:r>
      <w:r>
        <w:t>en API 3.0 el límite es por entidad, no por endpoint; al agotarse devuelve 429 y conviene optimizar con includes, caché y polling inteligente.</w:t>
      </w:r>
    </w:p>
    <w:p>
      <w:pPr>
        <w:pStyle w:val="Heading1"/>
        <w:spacing w:before="280" w:after="80"/>
      </w:pPr>
      <w:r>
        <w:t>3. Diagnóstico del repositorio revisado</w:t>
      </w:r>
    </w:p>
    <w:p>
      <w:pPr>
        <w:spacing w:after="120"/>
      </w:pPr>
      <w:r>
        <w:t>La revisión del repositorio muestra una base útil, pero con varias zonas que hoy podrían producir desalineación con la API o errores de interpretación de negocio:</w:t>
      </w:r>
    </w:p>
    <w:p>
      <w:pPr>
        <w:spacing w:after="60"/>
        <w:ind w:left="288" w:hanging="259"/>
      </w:pPr>
      <w:r>
        <w:rPr>
          <w:b/>
        </w:rPr>
        <w:t xml:space="preserve">• </w:t>
      </w:r>
      <w:r>
        <w:rPr>
          <w:b/>
        </w:rPr>
        <w:t xml:space="preserve">Fortalezas actuales: </w:t>
      </w:r>
      <w:r>
        <w:t>proxy backend para evitar CORS, home de ligas con próximos partidos, servicio frontend para fixtures y odds, lógica inicial para extraer mercados y una interfaz orientada a predicciones.</w:t>
      </w:r>
    </w:p>
    <w:p>
      <w:pPr>
        <w:spacing w:after="60"/>
        <w:ind w:left="288" w:hanging="259"/>
      </w:pPr>
      <w:r>
        <w:rPr>
          <w:b/>
        </w:rPr>
        <w:t xml:space="preserve">• </w:t>
      </w:r>
      <w:r>
        <w:rPr>
          <w:b/>
        </w:rPr>
        <w:t xml:space="preserve">Desalineación principal: </w:t>
      </w:r>
      <w:r>
        <w:t>la app intenta representar muchos mercados y mucha lógica derivada sin una capa formal de normalización entre la API oficial y la UI.</w:t>
      </w:r>
    </w:p>
    <w:p>
      <w:pPr>
        <w:spacing w:after="60"/>
        <w:ind w:left="288" w:hanging="259"/>
      </w:pPr>
      <w:r>
        <w:rPr>
          <w:b/>
        </w:rPr>
        <w:t xml:space="preserve">• </w:t>
      </w:r>
      <w:r>
        <w:rPr>
          <w:b/>
        </w:rPr>
        <w:t xml:space="preserve">Riesgo funcional: </w:t>
      </w:r>
      <w:r>
        <w:t>hay mezcla entre datos oficiales, cálculos derivados y nombres internos, lo que puede hacer que el frontend prometa más de lo que realmente devuelve Sportmonks.</w:t>
      </w:r>
    </w:p>
    <w:p>
      <w:pPr>
        <w:spacing w:after="60"/>
        <w:ind w:left="288" w:hanging="259"/>
      </w:pPr>
      <w:r>
        <w:rPr>
          <w:b/>
        </w:rPr>
        <w:t xml:space="preserve">• </w:t>
      </w:r>
      <w:r>
        <w:rPr>
          <w:b/>
        </w:rPr>
        <w:t xml:space="preserve">Riesgo de mantenimiento: </w:t>
      </w:r>
      <w:r>
        <w:t>al no existir un contrato intermedio, la UI queda demasiado acoplada a códigos, nombres y formas particulares del response.</w:t>
      </w:r>
    </w:p>
    <w:p>
      <w:pPr>
        <w:pStyle w:val="Heading1"/>
        <w:spacing w:before="280" w:after="80"/>
      </w:pPr>
      <w:r>
        <w:t>4. Regla maestra: distinguir datos oficiales de datos derivados</w:t>
      </w:r>
    </w:p>
    <w:p>
      <w:pPr>
        <w:spacing w:after="120"/>
      </w:pPr>
      <w:r>
        <w:t>Para que la aplicación no cometa errores, cada dato mostrado debe etiquetarse como oficial o derivado. Lo oficial viene de Sportmonks; lo derivado se calcula dentro de la aplicación y nunca debe presentarse como si fuera un campo nativo del response.</w:t>
      </w:r>
    </w:p>
    <w:tbl>
      <w:tblPr>
        <w:tblW w:type="auto" w:w="0"/>
        <w:jc w:val="center"/>
        <w:tblLayout w:type="fixed"/>
        <w:tblLook w:firstColumn="1" w:firstRow="1" w:lastColumn="0" w:lastRow="0" w:noHBand="0" w:noVBand="1" w:val="04A0"/>
        <w:tblBorders>
          <w:top w:val="single" w:sz="6" w:space="0" w:color="D9E7E1"/>
          <w:left w:val="single" w:sz="6" w:space="0" w:color="D9E7E1"/>
          <w:bottom w:val="single" w:sz="6" w:space="0" w:color="D9E7E1"/>
          <w:right w:val="single" w:sz="6" w:space="0" w:color="D9E7E1"/>
          <w:insideH w:val="single" w:sz="6" w:space="0" w:color="D9E7E1"/>
          <w:insideV w:val="single" w:sz="6" w:space="0" w:color="D9E7E1"/>
        </w:tblBorders>
      </w:tblPr>
      <w:tblGrid>
        <w:gridCol w:w="3312"/>
        <w:gridCol w:w="6768"/>
      </w:tblGrid>
      <w:tr>
        <w:trPr>
          <w:tblHeader w:val="true"/>
        </w:trPr>
        <w:tc>
          <w:tcPr>
            <w:tcW w:type="dxa" w:w="4896"/>
            <w:shd w:fill="0D6B4D"/>
            <w:tcMar>
              <w:top w:w="80" w:type="dxa"/>
              <w:start w:w="100" w:type="dxa"/>
              <w:bottom w:w="80" w:type="dxa"/>
              <w:end w:w="100" w:type="dxa"/>
            </w:tcMar>
            <w:vAlign w:val="center"/>
          </w:tcPr>
          <w:p>
            <w:r>
              <w:rPr>
                <w:b/>
                <w:color w:val="FFFFFF"/>
              </w:rPr>
              <w:t>Campo interno recomendado</w:t>
            </w:r>
          </w:p>
        </w:tc>
        <w:tc>
          <w:tcPr>
            <w:tcW w:type="dxa" w:w="4896"/>
            <w:shd w:fill="0D6B4D"/>
            <w:tcMar>
              <w:top w:w="80" w:type="dxa"/>
              <w:start w:w="100" w:type="dxa"/>
              <w:bottom w:w="80" w:type="dxa"/>
              <w:end w:w="100" w:type="dxa"/>
            </w:tcMar>
            <w:vAlign w:val="center"/>
          </w:tcPr>
          <w:p>
            <w:r>
              <w:rPr>
                <w:b/>
                <w:color w:val="FFFFFF"/>
              </w:rPr>
              <w:t>Fuente oficial / regla de implementación</w:t>
            </w:r>
          </w:p>
        </w:tc>
      </w:tr>
      <w:tr>
        <w:tc>
          <w:tcPr>
            <w:tcW w:type="dxa" w:w="3312"/>
            <w:tcMar>
              <w:top w:w="80" w:type="dxa"/>
              <w:start w:w="100" w:type="dxa"/>
              <w:bottom w:w="80" w:type="dxa"/>
              <w:end w:w="100" w:type="dxa"/>
            </w:tcMar>
            <w:vAlign w:val="center"/>
          </w:tcPr>
          <w:p>
            <w:r>
              <w:t>predictable</w:t>
            </w:r>
          </w:p>
        </w:tc>
        <w:tc>
          <w:tcPr>
            <w:tcW w:type="dxa" w:w="6768"/>
            <w:tcMar>
              <w:top w:w="80" w:type="dxa"/>
              <w:start w:w="100" w:type="dxa"/>
              <w:bottom w:w="80" w:type="dxa"/>
              <w:end w:w="100" w:type="dxa"/>
            </w:tcMar>
            <w:vAlign w:val="center"/>
          </w:tcPr>
          <w:p>
            <w:r>
              <w:t>Campo leído desde `metadata.predictable` del fixture. Es oficial.</w:t>
            </w:r>
          </w:p>
        </w:tc>
      </w:tr>
      <w:tr>
        <w:tc>
          <w:tcPr>
            <w:tcW w:type="dxa" w:w="3312"/>
            <w:tcMar>
              <w:top w:w="80" w:type="dxa"/>
              <w:start w:w="100" w:type="dxa"/>
              <w:bottom w:w="80" w:type="dxa"/>
              <w:end w:w="100" w:type="dxa"/>
            </w:tcMar>
            <w:vAlign w:val="center"/>
          </w:tcPr>
          <w:p>
            <w:r>
              <w:t>probability</w:t>
            </w:r>
          </w:p>
        </w:tc>
        <w:tc>
          <w:tcPr>
            <w:tcW w:type="dxa" w:w="6768"/>
            <w:tcMar>
              <w:top w:w="80" w:type="dxa"/>
              <w:start w:w="100" w:type="dxa"/>
              <w:bottom w:w="80" w:type="dxa"/>
              <w:end w:w="100" w:type="dxa"/>
            </w:tcMar>
            <w:vAlign w:val="center"/>
          </w:tcPr>
          <w:p>
            <w:r>
              <w:t>Debe salir de `predictions/probabilities` o del include `predictions`. Es oficial.</w:t>
            </w:r>
          </w:p>
        </w:tc>
      </w:tr>
      <w:tr>
        <w:tc>
          <w:tcPr>
            <w:tcW w:type="dxa" w:w="3312"/>
            <w:tcMar>
              <w:top w:w="80" w:type="dxa"/>
              <w:start w:w="100" w:type="dxa"/>
              <w:bottom w:w="80" w:type="dxa"/>
              <w:end w:w="100" w:type="dxa"/>
            </w:tcMar>
            <w:vAlign w:val="center"/>
          </w:tcPr>
          <w:p>
            <w:r>
              <w:t>fairOdd</w:t>
            </w:r>
          </w:p>
        </w:tc>
        <w:tc>
          <w:tcPr>
            <w:tcW w:type="dxa" w:w="6768"/>
            <w:tcMar>
              <w:top w:w="80" w:type="dxa"/>
              <w:start w:w="100" w:type="dxa"/>
              <w:bottom w:w="80" w:type="dxa"/>
              <w:end w:w="100" w:type="dxa"/>
            </w:tcMar>
            <w:vAlign w:val="center"/>
          </w:tcPr>
          <w:p>
            <w:r>
              <w:t>En Value Bets existe como `predictions.fair_odd`. Es oficial solo dentro de ese endpoint.</w:t>
            </w:r>
          </w:p>
        </w:tc>
      </w:tr>
      <w:tr>
        <w:tc>
          <w:tcPr>
            <w:tcW w:type="dxa" w:w="3312"/>
            <w:tcMar>
              <w:top w:w="80" w:type="dxa"/>
              <w:start w:w="100" w:type="dxa"/>
              <w:bottom w:w="80" w:type="dxa"/>
              <w:end w:w="100" w:type="dxa"/>
            </w:tcMar>
            <w:vAlign w:val="center"/>
          </w:tcPr>
          <w:p>
            <w:r>
              <w:t>marketOdd</w:t>
            </w:r>
          </w:p>
        </w:tc>
        <w:tc>
          <w:tcPr>
            <w:tcW w:type="dxa" w:w="6768"/>
            <w:tcMar>
              <w:top w:w="80" w:type="dxa"/>
              <w:start w:w="100" w:type="dxa"/>
              <w:bottom w:w="80" w:type="dxa"/>
              <w:end w:w="100" w:type="dxa"/>
            </w:tcMar>
            <w:vAlign w:val="center"/>
          </w:tcPr>
          <w:p>
            <w:r>
              <w:t>Debe mapearse desde `predictions.odd` en Value Bets o desde el endpoint de odds si se trabaja por mercado. Es oficial.</w:t>
            </w:r>
          </w:p>
        </w:tc>
      </w:tr>
      <w:tr>
        <w:tc>
          <w:tcPr>
            <w:tcW w:type="dxa" w:w="3312"/>
            <w:tcMar>
              <w:top w:w="80" w:type="dxa"/>
              <w:start w:w="100" w:type="dxa"/>
              <w:bottom w:w="80" w:type="dxa"/>
              <w:end w:w="100" w:type="dxa"/>
            </w:tcMar>
            <w:vAlign w:val="center"/>
          </w:tcPr>
          <w:p>
            <w:r>
              <w:t>isValuePick</w:t>
            </w:r>
          </w:p>
        </w:tc>
        <w:tc>
          <w:tcPr>
            <w:tcW w:type="dxa" w:w="6768"/>
            <w:tcMar>
              <w:top w:w="80" w:type="dxa"/>
              <w:start w:w="100" w:type="dxa"/>
              <w:bottom w:w="80" w:type="dxa"/>
              <w:end w:w="100" w:type="dxa"/>
            </w:tcMar>
            <w:vAlign w:val="center"/>
          </w:tcPr>
          <w:p>
            <w:r>
              <w:t>Debe mapearse internamente desde `predictions.is_value`. `is_value_pick` no debe asumirse como nombre oficial.</w:t>
            </w:r>
          </w:p>
        </w:tc>
      </w:tr>
      <w:tr>
        <w:tc>
          <w:tcPr>
            <w:tcW w:type="dxa" w:w="3312"/>
            <w:tcMar>
              <w:top w:w="80" w:type="dxa"/>
              <w:start w:w="100" w:type="dxa"/>
              <w:bottom w:w="80" w:type="dxa"/>
              <w:end w:w="100" w:type="dxa"/>
            </w:tcMar>
            <w:vAlign w:val="center"/>
          </w:tcPr>
          <w:p>
            <w:r>
              <w:t>suggestedStake</w:t>
            </w:r>
          </w:p>
        </w:tc>
        <w:tc>
          <w:tcPr>
            <w:tcW w:type="dxa" w:w="6768"/>
            <w:tcMar>
              <w:top w:w="80" w:type="dxa"/>
              <w:start w:w="100" w:type="dxa"/>
              <w:bottom w:w="80" w:type="dxa"/>
              <w:end w:w="100" w:type="dxa"/>
            </w:tcMar>
            <w:vAlign w:val="center"/>
          </w:tcPr>
          <w:p>
            <w:r>
              <w:t>Debe mapearse internamente desde `predictions.stake`. `suggested_stake` puede existir como alias interno, pero no como nombre oficial.</w:t>
            </w:r>
          </w:p>
        </w:tc>
      </w:tr>
      <w:tr>
        <w:tc>
          <w:tcPr>
            <w:tcW w:type="dxa" w:w="3312"/>
            <w:tcMar>
              <w:top w:w="80" w:type="dxa"/>
              <w:start w:w="100" w:type="dxa"/>
              <w:bottom w:w="80" w:type="dxa"/>
              <w:end w:w="100" w:type="dxa"/>
            </w:tcMar>
            <w:vAlign w:val="center"/>
          </w:tcPr>
          <w:p>
            <w:r>
              <w:t>edgePercent</w:t>
            </w:r>
          </w:p>
        </w:tc>
        <w:tc>
          <w:tcPr>
            <w:tcW w:type="dxa" w:w="6768"/>
            <w:tcMar>
              <w:top w:w="80" w:type="dxa"/>
              <w:start w:w="100" w:type="dxa"/>
              <w:bottom w:w="80" w:type="dxa"/>
              <w:end w:w="100" w:type="dxa"/>
            </w:tcMar>
            <w:vAlign w:val="center"/>
          </w:tcPr>
          <w:p>
            <w:r>
              <w:t>No aparece como campo documentado; debe calcularse internamente y marcarse como métrica derivada.</w:t>
            </w:r>
          </w:p>
        </w:tc>
      </w:tr>
      <w:tr>
        <w:tc>
          <w:tcPr>
            <w:tcW w:type="dxa" w:w="3312"/>
            <w:tcMar>
              <w:top w:w="80" w:type="dxa"/>
              <w:start w:w="100" w:type="dxa"/>
              <w:bottom w:w="80" w:type="dxa"/>
              <w:end w:w="100" w:type="dxa"/>
            </w:tcMar>
            <w:vAlign w:val="center"/>
          </w:tcPr>
          <w:p>
            <w:r>
              <w:t>badge text</w:t>
            </w:r>
          </w:p>
        </w:tc>
        <w:tc>
          <w:tcPr>
            <w:tcW w:type="dxa" w:w="6768"/>
            <w:tcMar>
              <w:top w:w="80" w:type="dxa"/>
              <w:start w:w="100" w:type="dxa"/>
              <w:bottom w:w="80" w:type="dxa"/>
              <w:end w:w="100" w:type="dxa"/>
            </w:tcMar>
            <w:vAlign w:val="center"/>
          </w:tcPr>
          <w:p>
            <w:r>
              <w:t>“VALUE DETECTED” es de UX y no un valor oficial de la API.</w:t>
            </w:r>
          </w:p>
        </w:tc>
      </w:tr>
    </w:tbl>
    <w:p>
      <w:pPr>
        <w:pStyle w:val="Small"/>
        <w:spacing w:after="120"/>
      </w:pPr>
      <w:r>
        <w:t>Regla de oro: si la aplicación usa nombres como `is_value_pick`, `suggested_stake` o `edge`, deben vivir en una capa de view-model y no en el contrato bruto de la API.</w:t>
      </w:r>
    </w:p>
    <w:p>
      <w:pPr>
        <w:pStyle w:val="Heading1"/>
        <w:spacing w:before="280" w:after="80"/>
      </w:pPr>
      <w:r>
        <w:t>5. Arquitectura exacta recomendada para quedar alineado con Sportmonks</w:t>
      </w:r>
    </w:p>
    <w:p>
      <w:pPr>
        <w:pStyle w:val="Heading2"/>
        <w:spacing w:before="200" w:after="80"/>
      </w:pPr>
      <w:r>
        <w:t>5.1. Endpoints que deben usarse</w:t>
      </w:r>
    </w:p>
    <w:tbl>
      <w:tblPr>
        <w:tblW w:type="auto" w:w="0"/>
        <w:jc w:val="center"/>
        <w:tblLayout w:type="fixed"/>
        <w:tblLook w:firstColumn="1" w:firstRow="1" w:lastColumn="0" w:lastRow="0" w:noHBand="0" w:noVBand="1" w:val="04A0"/>
        <w:tblBorders>
          <w:top w:val="single" w:sz="6" w:space="0" w:color="D9E7E1"/>
          <w:left w:val="single" w:sz="6" w:space="0" w:color="D9E7E1"/>
          <w:bottom w:val="single" w:sz="6" w:space="0" w:color="D9E7E1"/>
          <w:right w:val="single" w:sz="6" w:space="0" w:color="D9E7E1"/>
          <w:insideH w:val="single" w:sz="6" w:space="0" w:color="D9E7E1"/>
          <w:insideV w:val="single" w:sz="6" w:space="0" w:color="D9E7E1"/>
        </w:tblBorders>
      </w:tblPr>
      <w:tblGrid>
        <w:gridCol w:w="2160"/>
        <w:gridCol w:w="3168"/>
        <w:gridCol w:w="4752"/>
      </w:tblGrid>
      <w:tr>
        <w:trPr>
          <w:tblHeader w:val="true"/>
        </w:trPr>
        <w:tc>
          <w:tcPr>
            <w:tcW w:type="dxa" w:w="3264"/>
            <w:shd w:fill="0D6B4D"/>
            <w:tcMar>
              <w:top w:w="80" w:type="dxa"/>
              <w:start w:w="100" w:type="dxa"/>
              <w:bottom w:w="80" w:type="dxa"/>
              <w:end w:w="100" w:type="dxa"/>
            </w:tcMar>
            <w:vAlign w:val="center"/>
          </w:tcPr>
          <w:p>
            <w:r>
              <w:rPr>
                <w:b/>
                <w:color w:val="FFFFFF"/>
              </w:rPr>
              <w:t>Pantalla / caso</w:t>
            </w:r>
          </w:p>
        </w:tc>
        <w:tc>
          <w:tcPr>
            <w:tcW w:type="dxa" w:w="3264"/>
            <w:shd w:fill="0D6B4D"/>
            <w:tcMar>
              <w:top w:w="80" w:type="dxa"/>
              <w:start w:w="100" w:type="dxa"/>
              <w:bottom w:w="80" w:type="dxa"/>
              <w:end w:w="100" w:type="dxa"/>
            </w:tcMar>
            <w:vAlign w:val="center"/>
          </w:tcPr>
          <w:p>
            <w:r>
              <w:rPr>
                <w:b/>
                <w:color w:val="FFFFFF"/>
              </w:rPr>
              <w:t>Fuente principal</w:t>
            </w:r>
          </w:p>
        </w:tc>
        <w:tc>
          <w:tcPr>
            <w:tcW w:type="dxa" w:w="3264"/>
            <w:shd w:fill="0D6B4D"/>
            <w:tcMar>
              <w:top w:w="80" w:type="dxa"/>
              <w:start w:w="100" w:type="dxa"/>
              <w:bottom w:w="80" w:type="dxa"/>
              <w:end w:w="100" w:type="dxa"/>
            </w:tcMar>
            <w:vAlign w:val="center"/>
          </w:tcPr>
          <w:p>
            <w:r>
              <w:rPr>
                <w:b/>
                <w:color w:val="FFFFFF"/>
              </w:rPr>
              <w:t>Implementación correcta</w:t>
            </w:r>
          </w:p>
        </w:tc>
      </w:tr>
      <w:tr>
        <w:tc>
          <w:tcPr>
            <w:tcW w:type="dxa" w:w="2160"/>
            <w:tcMar>
              <w:top w:w="80" w:type="dxa"/>
              <w:start w:w="100" w:type="dxa"/>
              <w:bottom w:w="80" w:type="dxa"/>
              <w:end w:w="100" w:type="dxa"/>
            </w:tcMar>
            <w:vAlign w:val="center"/>
          </w:tcPr>
          <w:p>
            <w:r>
              <w:t>Home / listado general</w:t>
            </w:r>
          </w:p>
        </w:tc>
        <w:tc>
          <w:tcPr>
            <w:tcW w:type="dxa" w:w="3168"/>
            <w:tcMar>
              <w:top w:w="80" w:type="dxa"/>
              <w:start w:w="100" w:type="dxa"/>
              <w:bottom w:w="80" w:type="dxa"/>
              <w:end w:w="100" w:type="dxa"/>
            </w:tcMar>
            <w:vAlign w:val="center"/>
          </w:tcPr>
          <w:p>
            <w:r>
              <w:t>Fixtures por fecha o rango + includes mínimos</w:t>
            </w:r>
          </w:p>
        </w:tc>
        <w:tc>
          <w:tcPr>
            <w:tcW w:type="dxa" w:w="4752"/>
            <w:tcMar>
              <w:top w:w="80" w:type="dxa"/>
              <w:start w:w="100" w:type="dxa"/>
              <w:bottom w:w="80" w:type="dxa"/>
              <w:end w:w="100" w:type="dxa"/>
            </w:tcMar>
            <w:vAlign w:val="center"/>
          </w:tcPr>
          <w:p>
            <w:r>
              <w:t>Listar partidos con participantes, estado, metadata y, solo si conviene, predicciones resumidas.</w:t>
            </w:r>
          </w:p>
        </w:tc>
      </w:tr>
      <w:tr>
        <w:tc>
          <w:tcPr>
            <w:tcW w:type="dxa" w:w="2160"/>
            <w:tcMar>
              <w:top w:w="80" w:type="dxa"/>
              <w:start w:w="100" w:type="dxa"/>
              <w:bottom w:w="80" w:type="dxa"/>
              <w:end w:w="100" w:type="dxa"/>
            </w:tcMar>
            <w:vAlign w:val="center"/>
          </w:tcPr>
          <w:p>
            <w:r>
              <w:t>Detalle de partido</w:t>
            </w:r>
          </w:p>
        </w:tc>
        <w:tc>
          <w:tcPr>
            <w:tcW w:type="dxa" w:w="3168"/>
            <w:tcMar>
              <w:top w:w="80" w:type="dxa"/>
              <w:start w:w="100" w:type="dxa"/>
              <w:bottom w:w="80" w:type="dxa"/>
              <w:end w:w="100" w:type="dxa"/>
            </w:tcMar>
            <w:vAlign w:val="center"/>
          </w:tcPr>
          <w:p>
            <w:r>
              <w:t>Fixture por ID + includes relevantes</w:t>
            </w:r>
          </w:p>
        </w:tc>
        <w:tc>
          <w:tcPr>
            <w:tcW w:type="dxa" w:w="4752"/>
            <w:tcMar>
              <w:top w:w="80" w:type="dxa"/>
              <w:start w:w="100" w:type="dxa"/>
              <w:bottom w:w="80" w:type="dxa"/>
              <w:end w:w="100" w:type="dxa"/>
            </w:tcMar>
            <w:vAlign w:val="center"/>
          </w:tcPr>
          <w:p>
            <w:r>
              <w:t>Mostrar contexto del partido y determinar si es predecible.</w:t>
            </w:r>
          </w:p>
        </w:tc>
      </w:tr>
      <w:tr>
        <w:tc>
          <w:tcPr>
            <w:tcW w:type="dxa" w:w="2160"/>
            <w:tcMar>
              <w:top w:w="80" w:type="dxa"/>
              <w:start w:w="100" w:type="dxa"/>
              <w:bottom w:w="80" w:type="dxa"/>
              <w:end w:w="100" w:type="dxa"/>
            </w:tcMar>
            <w:vAlign w:val="center"/>
          </w:tcPr>
          <w:p>
            <w:r>
              <w:t>Probabilidades por partido</w:t>
            </w:r>
          </w:p>
        </w:tc>
        <w:tc>
          <w:tcPr>
            <w:tcW w:type="dxa" w:w="3168"/>
            <w:tcMar>
              <w:top w:w="80" w:type="dxa"/>
              <w:start w:w="100" w:type="dxa"/>
              <w:bottom w:w="80" w:type="dxa"/>
              <w:end w:w="100" w:type="dxa"/>
            </w:tcMar>
            <w:vAlign w:val="center"/>
          </w:tcPr>
          <w:p>
            <w:r>
              <w:t>Predictions / probabilities by fixture</w:t>
            </w:r>
          </w:p>
        </w:tc>
        <w:tc>
          <w:tcPr>
            <w:tcW w:type="dxa" w:w="4752"/>
            <w:tcMar>
              <w:top w:w="80" w:type="dxa"/>
              <w:start w:w="100" w:type="dxa"/>
              <w:bottom w:w="80" w:type="dxa"/>
              <w:end w:w="100" w:type="dxa"/>
            </w:tcMar>
            <w:vAlign w:val="center"/>
          </w:tcPr>
          <w:p>
            <w:r>
              <w:t>Obtener mercados de predicción de forma dedicada y más limpia.</w:t>
            </w:r>
          </w:p>
        </w:tc>
      </w:tr>
      <w:tr>
        <w:tc>
          <w:tcPr>
            <w:tcW w:type="dxa" w:w="2160"/>
            <w:tcMar>
              <w:top w:w="80" w:type="dxa"/>
              <w:start w:w="100" w:type="dxa"/>
              <w:bottom w:w="80" w:type="dxa"/>
              <w:end w:w="100" w:type="dxa"/>
            </w:tcMar>
            <w:vAlign w:val="center"/>
          </w:tcPr>
          <w:p>
            <w:r>
              <w:t>Value Bets por partido</w:t>
            </w:r>
          </w:p>
        </w:tc>
        <w:tc>
          <w:tcPr>
            <w:tcW w:type="dxa" w:w="3168"/>
            <w:tcMar>
              <w:top w:w="80" w:type="dxa"/>
              <w:start w:w="100" w:type="dxa"/>
              <w:bottom w:w="80" w:type="dxa"/>
              <w:end w:w="100" w:type="dxa"/>
            </w:tcMar>
            <w:vAlign w:val="center"/>
          </w:tcPr>
          <w:p>
            <w:r>
              <w:t>Predictions / value-bets by fixture</w:t>
            </w:r>
          </w:p>
        </w:tc>
        <w:tc>
          <w:tcPr>
            <w:tcW w:type="dxa" w:w="4752"/>
            <w:tcMar>
              <w:top w:w="80" w:type="dxa"/>
              <w:start w:w="100" w:type="dxa"/>
              <w:bottom w:w="80" w:type="dxa"/>
              <w:end w:w="100" w:type="dxa"/>
            </w:tcMar>
            <w:vAlign w:val="center"/>
          </w:tcPr>
          <w:p>
            <w:r>
              <w:t>Obtener `is_value`, `stake`, `fair_odd`, `odd` y `bookmaker`.</w:t>
            </w:r>
          </w:p>
        </w:tc>
      </w:tr>
      <w:tr>
        <w:tc>
          <w:tcPr>
            <w:tcW w:type="dxa" w:w="2160"/>
            <w:tcMar>
              <w:top w:w="80" w:type="dxa"/>
              <w:start w:w="100" w:type="dxa"/>
              <w:bottom w:w="80" w:type="dxa"/>
              <w:end w:w="100" w:type="dxa"/>
            </w:tcMar>
            <w:vAlign w:val="center"/>
          </w:tcPr>
          <w:p>
            <w:r>
              <w:t>Pantalla general de oportunidades</w:t>
            </w:r>
          </w:p>
        </w:tc>
        <w:tc>
          <w:tcPr>
            <w:tcW w:type="dxa" w:w="3168"/>
            <w:tcMar>
              <w:top w:w="80" w:type="dxa"/>
              <w:start w:w="100" w:type="dxa"/>
              <w:bottom w:w="80" w:type="dxa"/>
              <w:end w:w="100" w:type="dxa"/>
            </w:tcMar>
            <w:vAlign w:val="center"/>
          </w:tcPr>
          <w:p>
            <w:r>
              <w:t>Predictions / value-bets</w:t>
            </w:r>
          </w:p>
        </w:tc>
        <w:tc>
          <w:tcPr>
            <w:tcW w:type="dxa" w:w="4752"/>
            <w:tcMar>
              <w:top w:w="80" w:type="dxa"/>
              <w:start w:w="100" w:type="dxa"/>
              <w:bottom w:w="80" w:type="dxa"/>
              <w:end w:w="100" w:type="dxa"/>
            </w:tcMar>
            <w:vAlign w:val="center"/>
          </w:tcPr>
          <w:p>
            <w:r>
              <w:t>Construir una vista premium o elite con todos los candidatos disponibles en la suscripción.</w:t>
            </w:r>
          </w:p>
        </w:tc>
      </w:tr>
      <w:tr>
        <w:tc>
          <w:tcPr>
            <w:tcW w:type="dxa" w:w="2160"/>
            <w:tcMar>
              <w:top w:w="80" w:type="dxa"/>
              <w:start w:w="100" w:type="dxa"/>
              <w:bottom w:w="80" w:type="dxa"/>
              <w:end w:w="100" w:type="dxa"/>
            </w:tcMar>
            <w:vAlign w:val="center"/>
          </w:tcPr>
          <w:p>
            <w:r>
              <w:t>Monitoreo de consumo</w:t>
            </w:r>
          </w:p>
        </w:tc>
        <w:tc>
          <w:tcPr>
            <w:tcW w:type="dxa" w:w="3168"/>
            <w:tcMar>
              <w:top w:w="80" w:type="dxa"/>
              <w:start w:w="100" w:type="dxa"/>
              <w:bottom w:w="80" w:type="dxa"/>
              <w:end w:w="100" w:type="dxa"/>
            </w:tcMar>
            <w:vAlign w:val="center"/>
          </w:tcPr>
          <w:p>
            <w:r>
              <w:t>Core / my / usage</w:t>
            </w:r>
          </w:p>
        </w:tc>
        <w:tc>
          <w:tcPr>
            <w:tcW w:type="dxa" w:w="4752"/>
            <w:tcMar>
              <w:top w:w="80" w:type="dxa"/>
              <w:start w:w="100" w:type="dxa"/>
              <w:bottom w:w="80" w:type="dxa"/>
              <w:end w:w="100" w:type="dxa"/>
            </w:tcMar>
            <w:vAlign w:val="center"/>
          </w:tcPr>
          <w:p>
            <w:r>
              <w:t>Supervisar uso y prevenir saturación del rate limit.</w:t>
            </w:r>
          </w:p>
        </w:tc>
      </w:tr>
    </w:tbl>
    <w:p>
      <w:pPr>
        <w:pStyle w:val="Heading2"/>
        <w:spacing w:before="200" w:after="80"/>
      </w:pPr>
      <w:r>
        <w:t>5.2. Includes mínimos y seguros</w:t>
      </w:r>
    </w:p>
    <w:p>
      <w:pPr>
        <w:spacing w:after="60"/>
        <w:ind w:left="288" w:hanging="259"/>
      </w:pPr>
      <w:r>
        <w:rPr>
          <w:b/>
        </w:rPr>
        <w:t xml:space="preserve">• </w:t>
      </w:r>
      <w:r>
        <w:rPr>
          <w:b/>
        </w:rPr>
        <w:t xml:space="preserve">Para fixtures del listado: </w:t>
      </w:r>
      <w:r>
        <w:t>`participants;state;metadata` y opcionalmente `predictions` solo si el payload sigue siendo controlable.</w:t>
      </w:r>
    </w:p>
    <w:p>
      <w:pPr>
        <w:spacing w:after="60"/>
        <w:ind w:left="288" w:hanging="259"/>
      </w:pPr>
      <w:r>
        <w:rPr>
          <w:b/>
        </w:rPr>
        <w:t xml:space="preserve">• </w:t>
      </w:r>
      <w:r>
        <w:rPr>
          <w:b/>
        </w:rPr>
        <w:t xml:space="preserve">Para value bets: </w:t>
      </w:r>
      <w:r>
        <w:t>usar `include=type;fixture` cuando la pantalla necesite nombre del mercado y contexto del partido.</w:t>
      </w:r>
    </w:p>
    <w:p>
      <w:pPr>
        <w:spacing w:after="60"/>
        <w:ind w:left="288" w:hanging="259"/>
      </w:pPr>
      <w:r>
        <w:rPr>
          <w:b/>
        </w:rPr>
        <w:t xml:space="preserve">• </w:t>
      </w:r>
      <w:r>
        <w:rPr>
          <w:b/>
        </w:rPr>
        <w:t xml:space="preserve">Para probabilities por fixture: </w:t>
      </w:r>
      <w:r>
        <w:t>usar `include=type;fixture;league` cuando haga falta etiquetar el mercado y el partido sin llamadas extra.</w:t>
      </w:r>
    </w:p>
    <w:p>
      <w:pPr>
        <w:spacing w:after="60"/>
        <w:ind w:left="288" w:hanging="259"/>
      </w:pPr>
      <w:r>
        <w:rPr>
          <w:b/>
        </w:rPr>
        <w:t xml:space="preserve">• </w:t>
      </w:r>
      <w:r>
        <w:rPr>
          <w:b/>
        </w:rPr>
        <w:t xml:space="preserve">Regla de prudencia: </w:t>
      </w:r>
      <w:r>
        <w:t>no sobredimensionar includes en el listado general; los payloads ricos deben reservarse al detalle o al dashboard premium.</w:t>
      </w:r>
    </w:p>
    <w:p>
      <w:pPr>
        <w:pStyle w:val="Heading2"/>
        <w:spacing w:before="200" w:after="80"/>
      </w:pPr>
      <w:r>
        <w:t>5.3. Capa intermedia obligatoria de normalización</w:t>
      </w:r>
    </w:p>
    <w:p>
      <w:pPr>
        <w:spacing w:after="120"/>
      </w:pPr>
      <w:r>
        <w:t>Debe crearse una capa intermedia, idealmente en el backend o en un módulo compartido, con estas funciones mínimas:</w:t>
      </w:r>
    </w:p>
    <w:p>
      <w:pPr>
        <w:spacing w:after="60"/>
        <w:ind w:left="288" w:hanging="259"/>
      </w:pPr>
      <w:r>
        <w:rPr>
          <w:b/>
        </w:rPr>
        <w:t xml:space="preserve">• </w:t>
      </w:r>
      <w:r>
        <w:t>normalizeFixture(response): extrae ids, nombres, participantes, estado, kickoff, league, metadata.predictable y datos seguros de UI.</w:t>
      </w:r>
    </w:p>
    <w:p>
      <w:pPr>
        <w:spacing w:after="60"/>
        <w:ind w:left="288" w:hanging="259"/>
      </w:pPr>
      <w:r>
        <w:rPr>
          <w:b/>
        </w:rPr>
        <w:t xml:space="preserve">• </w:t>
      </w:r>
      <w:r>
        <w:t>normalizeProbabilities(response): convierte la lista de probabilidades en un mapa estable por tipo de mercado.</w:t>
      </w:r>
    </w:p>
    <w:p>
      <w:pPr>
        <w:spacing w:after="60"/>
        <w:ind w:left="288" w:hanging="259"/>
      </w:pPr>
      <w:r>
        <w:rPr>
          <w:b/>
        </w:rPr>
        <w:t xml:space="preserve">• </w:t>
      </w:r>
      <w:r>
        <w:t>normalizeValueBets(response): convierte el response oficial de value bets en objetos aptos para dashboard y detalle.</w:t>
      </w:r>
    </w:p>
    <w:p>
      <w:pPr>
        <w:spacing w:after="60"/>
        <w:ind w:left="288" w:hanging="259"/>
      </w:pPr>
      <w:r>
        <w:rPr>
          <w:b/>
        </w:rPr>
        <w:t xml:space="preserve">• </w:t>
      </w:r>
      <w:r>
        <w:t>buildGeneralMarketItem(fixture, probabilities, valueBet): construye el objeto final que consumirá la interfaz del mercado general.</w:t>
      </w:r>
    </w:p>
    <w:p>
      <w:pPr>
        <w:pStyle w:val="Heading1"/>
        <w:spacing w:before="280" w:after="80"/>
      </w:pPr>
      <w:r>
        <w:t>6. Sistema técnico obligatorio para el mercado general</w:t>
      </w:r>
    </w:p>
    <w:p>
      <w:pPr>
        <w:spacing w:after="120"/>
      </w:pPr>
      <w:r>
        <w:t>El sistema solicitado para el mercado general sí puede implementarse, pero debe quedar alineado con la API mediante una traducción explícita de campos. La aplicación no debe filtrar por un supuesto campo oficial `is_value_pick`, sino por un alias interno derivado del response oficial.</w:t>
      </w:r>
    </w:p>
    <w:p>
      <w:pPr>
        <w:pStyle w:val="Heading2"/>
        <w:spacing w:before="200" w:after="80"/>
      </w:pPr>
      <w:r>
        <w:t>6.1. Contrato de datos recomendado para la UI</w:t>
      </w:r>
    </w:p>
    <w:tbl>
      <w:tblPr>
        <w:tblW w:type="auto" w:w="0"/>
        <w:jc w:val="center"/>
        <w:tblLayout w:type="fixed"/>
        <w:tblLook w:firstColumn="1" w:firstRow="1" w:lastColumn="0" w:lastRow="0" w:noHBand="0" w:noVBand="1" w:val="04A0"/>
        <w:tblBorders>
          <w:top w:val="single" w:sz="6" w:space="0" w:color="D9E7E1"/>
          <w:left w:val="single" w:sz="6" w:space="0" w:color="D9E7E1"/>
          <w:bottom w:val="single" w:sz="6" w:space="0" w:color="D9E7E1"/>
          <w:right w:val="single" w:sz="6" w:space="0" w:color="D9E7E1"/>
          <w:insideH w:val="single" w:sz="6" w:space="0" w:color="D9E7E1"/>
          <w:insideV w:val="single" w:sz="6" w:space="0" w:color="D9E7E1"/>
        </w:tblBorders>
      </w:tblPr>
      <w:tblGrid>
        <w:gridCol w:w="2160"/>
        <w:gridCol w:w="3168"/>
        <w:gridCol w:w="4752"/>
      </w:tblGrid>
      <w:tr>
        <w:trPr>
          <w:tblHeader w:val="true"/>
        </w:trPr>
        <w:tc>
          <w:tcPr>
            <w:tcW w:type="dxa" w:w="3264"/>
            <w:shd w:fill="0D6B4D"/>
            <w:tcMar>
              <w:top w:w="80" w:type="dxa"/>
              <w:start w:w="100" w:type="dxa"/>
              <w:bottom w:w="80" w:type="dxa"/>
              <w:end w:w="100" w:type="dxa"/>
            </w:tcMar>
            <w:vAlign w:val="center"/>
          </w:tcPr>
          <w:p>
            <w:r>
              <w:rPr>
                <w:b/>
                <w:color w:val="FFFFFF"/>
              </w:rPr>
              <w:t>Campo UI</w:t>
            </w:r>
          </w:p>
        </w:tc>
        <w:tc>
          <w:tcPr>
            <w:tcW w:type="dxa" w:w="3264"/>
            <w:shd w:fill="0D6B4D"/>
            <w:tcMar>
              <w:top w:w="80" w:type="dxa"/>
              <w:start w:w="100" w:type="dxa"/>
              <w:bottom w:w="80" w:type="dxa"/>
              <w:end w:w="100" w:type="dxa"/>
            </w:tcMar>
            <w:vAlign w:val="center"/>
          </w:tcPr>
          <w:p>
            <w:r>
              <w:rPr>
                <w:b/>
                <w:color w:val="FFFFFF"/>
              </w:rPr>
              <w:t>Origen</w:t>
            </w:r>
          </w:p>
        </w:tc>
        <w:tc>
          <w:tcPr>
            <w:tcW w:type="dxa" w:w="3264"/>
            <w:shd w:fill="0D6B4D"/>
            <w:tcMar>
              <w:top w:w="80" w:type="dxa"/>
              <w:start w:w="100" w:type="dxa"/>
              <w:bottom w:w="80" w:type="dxa"/>
              <w:end w:w="100" w:type="dxa"/>
            </w:tcMar>
            <w:vAlign w:val="center"/>
          </w:tcPr>
          <w:p>
            <w:r>
              <w:rPr>
                <w:b/>
                <w:color w:val="FFFFFF"/>
              </w:rPr>
              <w:t>Regla</w:t>
            </w:r>
          </w:p>
        </w:tc>
      </w:tr>
      <w:tr>
        <w:tc>
          <w:tcPr>
            <w:tcW w:type="dxa" w:w="2160"/>
            <w:tcMar>
              <w:top w:w="80" w:type="dxa"/>
              <w:start w:w="100" w:type="dxa"/>
              <w:bottom w:w="80" w:type="dxa"/>
              <w:end w:w="100" w:type="dxa"/>
            </w:tcMar>
            <w:vAlign w:val="center"/>
          </w:tcPr>
          <w:p>
            <w:r>
              <w:t>fixtureId</w:t>
            </w:r>
          </w:p>
        </w:tc>
        <w:tc>
          <w:tcPr>
            <w:tcW w:type="dxa" w:w="3168"/>
            <w:tcMar>
              <w:top w:w="80" w:type="dxa"/>
              <w:start w:w="100" w:type="dxa"/>
              <w:bottom w:w="80" w:type="dxa"/>
              <w:end w:w="100" w:type="dxa"/>
            </w:tcMar>
            <w:vAlign w:val="center"/>
          </w:tcPr>
          <w:p>
            <w:r>
              <w:t>fixture_id</w:t>
            </w:r>
          </w:p>
        </w:tc>
        <w:tc>
          <w:tcPr>
            <w:tcW w:type="dxa" w:w="4752"/>
            <w:tcMar>
              <w:top w:w="80" w:type="dxa"/>
              <w:start w:w="100" w:type="dxa"/>
              <w:bottom w:w="80" w:type="dxa"/>
              <w:end w:w="100" w:type="dxa"/>
            </w:tcMar>
            <w:vAlign w:val="center"/>
          </w:tcPr>
          <w:p>
            <w:r>
              <w:t>Identificador del partido.</w:t>
            </w:r>
          </w:p>
        </w:tc>
      </w:tr>
      <w:tr>
        <w:tc>
          <w:tcPr>
            <w:tcW w:type="dxa" w:w="2160"/>
            <w:tcMar>
              <w:top w:w="80" w:type="dxa"/>
              <w:start w:w="100" w:type="dxa"/>
              <w:bottom w:w="80" w:type="dxa"/>
              <w:end w:w="100" w:type="dxa"/>
            </w:tcMar>
            <w:vAlign w:val="center"/>
          </w:tcPr>
          <w:p>
            <w:r>
              <w:t>teamsLabel</w:t>
            </w:r>
          </w:p>
        </w:tc>
        <w:tc>
          <w:tcPr>
            <w:tcW w:type="dxa" w:w="3168"/>
            <w:tcMar>
              <w:top w:w="80" w:type="dxa"/>
              <w:start w:w="100" w:type="dxa"/>
              <w:bottom w:w="80" w:type="dxa"/>
              <w:end w:w="100" w:type="dxa"/>
            </w:tcMar>
            <w:vAlign w:val="center"/>
          </w:tcPr>
          <w:p>
            <w:r>
              <w:t>fixture + participants</w:t>
            </w:r>
          </w:p>
        </w:tc>
        <w:tc>
          <w:tcPr>
            <w:tcW w:type="dxa" w:w="4752"/>
            <w:tcMar>
              <w:top w:w="80" w:type="dxa"/>
              <w:start w:w="100" w:type="dxa"/>
              <w:bottom w:w="80" w:type="dxa"/>
              <w:end w:w="100" w:type="dxa"/>
            </w:tcMar>
            <w:vAlign w:val="center"/>
          </w:tcPr>
          <w:p>
            <w:r>
              <w:t>Texto renderizable: “Real Madrid vs Barcelona”.</w:t>
            </w:r>
          </w:p>
        </w:tc>
      </w:tr>
      <w:tr>
        <w:tc>
          <w:tcPr>
            <w:tcW w:type="dxa" w:w="2160"/>
            <w:tcMar>
              <w:top w:w="80" w:type="dxa"/>
              <w:start w:w="100" w:type="dxa"/>
              <w:bottom w:w="80" w:type="dxa"/>
              <w:end w:w="100" w:type="dxa"/>
            </w:tcMar>
            <w:vAlign w:val="center"/>
          </w:tcPr>
          <w:p>
            <w:r>
              <w:t>predictability</w:t>
            </w:r>
          </w:p>
        </w:tc>
        <w:tc>
          <w:tcPr>
            <w:tcW w:type="dxa" w:w="3168"/>
            <w:tcMar>
              <w:top w:w="80" w:type="dxa"/>
              <w:start w:w="100" w:type="dxa"/>
              <w:bottom w:w="80" w:type="dxa"/>
              <w:end w:w="100" w:type="dxa"/>
            </w:tcMar>
            <w:vAlign w:val="center"/>
          </w:tcPr>
          <w:p>
            <w:r>
              <w:t>metadata.predictable</w:t>
            </w:r>
          </w:p>
        </w:tc>
        <w:tc>
          <w:tcPr>
            <w:tcW w:type="dxa" w:w="4752"/>
            <w:tcMar>
              <w:top w:w="80" w:type="dxa"/>
              <w:start w:w="100" w:type="dxa"/>
              <w:bottom w:w="80" w:type="dxa"/>
              <w:end w:w="100" w:type="dxa"/>
            </w:tcMar>
            <w:vAlign w:val="center"/>
          </w:tcPr>
          <w:p>
            <w:r>
              <w:t>Porcentaje o bandera de aptitud predictiva según el response disponible.</w:t>
            </w:r>
          </w:p>
        </w:tc>
      </w:tr>
      <w:tr>
        <w:tc>
          <w:tcPr>
            <w:tcW w:type="dxa" w:w="2160"/>
            <w:tcMar>
              <w:top w:w="80" w:type="dxa"/>
              <w:start w:w="100" w:type="dxa"/>
              <w:bottom w:w="80" w:type="dxa"/>
              <w:end w:w="100" w:type="dxa"/>
            </w:tcMar>
            <w:vAlign w:val="center"/>
          </w:tcPr>
          <w:p>
            <w:r>
              <w:t>apiProbability</w:t>
            </w:r>
          </w:p>
        </w:tc>
        <w:tc>
          <w:tcPr>
            <w:tcW w:type="dxa" w:w="3168"/>
            <w:tcMar>
              <w:top w:w="80" w:type="dxa"/>
              <w:start w:w="100" w:type="dxa"/>
              <w:bottom w:w="80" w:type="dxa"/>
              <w:end w:w="100" w:type="dxa"/>
            </w:tcMar>
            <w:vAlign w:val="center"/>
          </w:tcPr>
          <w:p>
            <w:r>
              <w:t>probabilities endpoint</w:t>
            </w:r>
          </w:p>
        </w:tc>
        <w:tc>
          <w:tcPr>
            <w:tcW w:type="dxa" w:w="4752"/>
            <w:tcMar>
              <w:top w:w="80" w:type="dxa"/>
              <w:start w:w="100" w:type="dxa"/>
              <w:bottom w:w="80" w:type="dxa"/>
              <w:end w:w="100" w:type="dxa"/>
            </w:tcMar>
            <w:vAlign w:val="center"/>
          </w:tcPr>
          <w:p>
            <w:r>
              <w:t>Probabilidad del mercado elegido.</w:t>
            </w:r>
          </w:p>
        </w:tc>
      </w:tr>
      <w:tr>
        <w:tc>
          <w:tcPr>
            <w:tcW w:type="dxa" w:w="2160"/>
            <w:tcMar>
              <w:top w:w="80" w:type="dxa"/>
              <w:start w:w="100" w:type="dxa"/>
              <w:bottom w:w="80" w:type="dxa"/>
              <w:end w:w="100" w:type="dxa"/>
            </w:tcMar>
            <w:vAlign w:val="center"/>
          </w:tcPr>
          <w:p>
            <w:r>
              <w:t>marketOdd</w:t>
            </w:r>
          </w:p>
        </w:tc>
        <w:tc>
          <w:tcPr>
            <w:tcW w:type="dxa" w:w="3168"/>
            <w:tcMar>
              <w:top w:w="80" w:type="dxa"/>
              <w:start w:w="100" w:type="dxa"/>
              <w:bottom w:w="80" w:type="dxa"/>
              <w:end w:w="100" w:type="dxa"/>
            </w:tcMar>
            <w:vAlign w:val="center"/>
          </w:tcPr>
          <w:p>
            <w:r>
              <w:t>value-bets.predictions.odd o odds endpoint</w:t>
            </w:r>
          </w:p>
        </w:tc>
        <w:tc>
          <w:tcPr>
            <w:tcW w:type="dxa" w:w="4752"/>
            <w:tcMar>
              <w:top w:w="80" w:type="dxa"/>
              <w:start w:w="100" w:type="dxa"/>
              <w:bottom w:w="80" w:type="dxa"/>
              <w:end w:w="100" w:type="dxa"/>
            </w:tcMar>
            <w:vAlign w:val="center"/>
          </w:tcPr>
          <w:p>
            <w:r>
              <w:t>Cuota usada en la tarjeta.</w:t>
            </w:r>
          </w:p>
        </w:tc>
      </w:tr>
      <w:tr>
        <w:tc>
          <w:tcPr>
            <w:tcW w:type="dxa" w:w="2160"/>
            <w:tcMar>
              <w:top w:w="80" w:type="dxa"/>
              <w:start w:w="100" w:type="dxa"/>
              <w:bottom w:w="80" w:type="dxa"/>
              <w:end w:w="100" w:type="dxa"/>
            </w:tcMar>
            <w:vAlign w:val="center"/>
          </w:tcPr>
          <w:p>
            <w:r>
              <w:t>fairOdd</w:t>
            </w:r>
          </w:p>
        </w:tc>
        <w:tc>
          <w:tcPr>
            <w:tcW w:type="dxa" w:w="3168"/>
            <w:tcMar>
              <w:top w:w="80" w:type="dxa"/>
              <w:start w:w="100" w:type="dxa"/>
              <w:bottom w:w="80" w:type="dxa"/>
              <w:end w:w="100" w:type="dxa"/>
            </w:tcMar>
            <w:vAlign w:val="center"/>
          </w:tcPr>
          <w:p>
            <w:r>
              <w:t>value-bets.predictions.fair_odd</w:t>
            </w:r>
          </w:p>
        </w:tc>
        <w:tc>
          <w:tcPr>
            <w:tcW w:type="dxa" w:w="4752"/>
            <w:tcMar>
              <w:top w:w="80" w:type="dxa"/>
              <w:start w:w="100" w:type="dxa"/>
              <w:bottom w:w="80" w:type="dxa"/>
              <w:end w:w="100" w:type="dxa"/>
            </w:tcMar>
            <w:vAlign w:val="center"/>
          </w:tcPr>
          <w:p>
            <w:r>
              <w:t>Cuota justa oficial del modelo de value bet.</w:t>
            </w:r>
          </w:p>
        </w:tc>
      </w:tr>
      <w:tr>
        <w:tc>
          <w:tcPr>
            <w:tcW w:type="dxa" w:w="2160"/>
            <w:tcMar>
              <w:top w:w="80" w:type="dxa"/>
              <w:start w:w="100" w:type="dxa"/>
              <w:bottom w:w="80" w:type="dxa"/>
              <w:end w:w="100" w:type="dxa"/>
            </w:tcMar>
            <w:vAlign w:val="center"/>
          </w:tcPr>
          <w:p>
            <w:r>
              <w:t>isValuePick</w:t>
            </w:r>
          </w:p>
        </w:tc>
        <w:tc>
          <w:tcPr>
            <w:tcW w:type="dxa" w:w="3168"/>
            <w:tcMar>
              <w:top w:w="80" w:type="dxa"/>
              <w:start w:w="100" w:type="dxa"/>
              <w:bottom w:w="80" w:type="dxa"/>
              <w:end w:w="100" w:type="dxa"/>
            </w:tcMar>
            <w:vAlign w:val="center"/>
          </w:tcPr>
          <w:p>
            <w:r>
              <w:t>value-bets.predictions.is_value</w:t>
            </w:r>
          </w:p>
        </w:tc>
        <w:tc>
          <w:tcPr>
            <w:tcW w:type="dxa" w:w="4752"/>
            <w:tcMar>
              <w:top w:w="80" w:type="dxa"/>
              <w:start w:w="100" w:type="dxa"/>
              <w:bottom w:w="80" w:type="dxa"/>
              <w:end w:w="100" w:type="dxa"/>
            </w:tcMar>
            <w:vAlign w:val="center"/>
          </w:tcPr>
          <w:p>
            <w:r>
              <w:t>Booleano interno que activa la tarjeta elite.</w:t>
            </w:r>
          </w:p>
        </w:tc>
      </w:tr>
      <w:tr>
        <w:tc>
          <w:tcPr>
            <w:tcW w:type="dxa" w:w="2160"/>
            <w:tcMar>
              <w:top w:w="80" w:type="dxa"/>
              <w:start w:w="100" w:type="dxa"/>
              <w:bottom w:w="80" w:type="dxa"/>
              <w:end w:w="100" w:type="dxa"/>
            </w:tcMar>
            <w:vAlign w:val="center"/>
          </w:tcPr>
          <w:p>
            <w:r>
              <w:t>suggestedStake</w:t>
            </w:r>
          </w:p>
        </w:tc>
        <w:tc>
          <w:tcPr>
            <w:tcW w:type="dxa" w:w="3168"/>
            <w:tcMar>
              <w:top w:w="80" w:type="dxa"/>
              <w:start w:w="100" w:type="dxa"/>
              <w:bottom w:w="80" w:type="dxa"/>
              <w:end w:w="100" w:type="dxa"/>
            </w:tcMar>
            <w:vAlign w:val="center"/>
          </w:tcPr>
          <w:p>
            <w:r>
              <w:t>value-bets.predictions.stake</w:t>
            </w:r>
          </w:p>
        </w:tc>
        <w:tc>
          <w:tcPr>
            <w:tcW w:type="dxa" w:w="4752"/>
            <w:tcMar>
              <w:top w:w="80" w:type="dxa"/>
              <w:start w:w="100" w:type="dxa"/>
              <w:bottom w:w="80" w:type="dxa"/>
              <w:end w:w="100" w:type="dxa"/>
            </w:tcMar>
            <w:vAlign w:val="center"/>
          </w:tcPr>
          <w:p>
            <w:r>
              <w:t>Stake recomendado por el modelo.</w:t>
            </w:r>
          </w:p>
        </w:tc>
      </w:tr>
      <w:tr>
        <w:tc>
          <w:tcPr>
            <w:tcW w:type="dxa" w:w="2160"/>
            <w:tcMar>
              <w:top w:w="80" w:type="dxa"/>
              <w:start w:w="100" w:type="dxa"/>
              <w:bottom w:w="80" w:type="dxa"/>
              <w:end w:w="100" w:type="dxa"/>
            </w:tcMar>
            <w:vAlign w:val="center"/>
          </w:tcPr>
          <w:p>
            <w:r>
              <w:t>bookmaker</w:t>
            </w:r>
          </w:p>
        </w:tc>
        <w:tc>
          <w:tcPr>
            <w:tcW w:type="dxa" w:w="3168"/>
            <w:tcMar>
              <w:top w:w="80" w:type="dxa"/>
              <w:start w:w="100" w:type="dxa"/>
              <w:bottom w:w="80" w:type="dxa"/>
              <w:end w:w="100" w:type="dxa"/>
            </w:tcMar>
            <w:vAlign w:val="center"/>
          </w:tcPr>
          <w:p>
            <w:r>
              <w:t>value-bets.predictions.bookmaker</w:t>
            </w:r>
          </w:p>
        </w:tc>
        <w:tc>
          <w:tcPr>
            <w:tcW w:type="dxa" w:w="4752"/>
            <w:tcMar>
              <w:top w:w="80" w:type="dxa"/>
              <w:start w:w="100" w:type="dxa"/>
              <w:bottom w:w="80" w:type="dxa"/>
              <w:end w:w="100" w:type="dxa"/>
            </w:tcMar>
            <w:vAlign w:val="center"/>
          </w:tcPr>
          <w:p>
            <w:r>
              <w:t>Casa con la mejor cuota detectada.</w:t>
            </w:r>
          </w:p>
        </w:tc>
      </w:tr>
      <w:tr>
        <w:tc>
          <w:tcPr>
            <w:tcW w:type="dxa" w:w="2160"/>
            <w:tcMar>
              <w:top w:w="80" w:type="dxa"/>
              <w:start w:w="100" w:type="dxa"/>
              <w:bottom w:w="80" w:type="dxa"/>
              <w:end w:w="100" w:type="dxa"/>
            </w:tcMar>
            <w:vAlign w:val="center"/>
          </w:tcPr>
          <w:p>
            <w:r>
              <w:t>edgePercent</w:t>
            </w:r>
          </w:p>
        </w:tc>
        <w:tc>
          <w:tcPr>
            <w:tcW w:type="dxa" w:w="3168"/>
            <w:tcMar>
              <w:top w:w="80" w:type="dxa"/>
              <w:start w:w="100" w:type="dxa"/>
              <w:bottom w:w="80" w:type="dxa"/>
              <w:end w:w="100" w:type="dxa"/>
            </w:tcMar>
            <w:vAlign w:val="center"/>
          </w:tcPr>
          <w:p>
            <w:r>
              <w:t>DERIVADO</w:t>
            </w:r>
          </w:p>
        </w:tc>
        <w:tc>
          <w:tcPr>
            <w:tcW w:type="dxa" w:w="4752"/>
            <w:tcMar>
              <w:top w:w="80" w:type="dxa"/>
              <w:start w:w="100" w:type="dxa"/>
              <w:bottom w:w="80" w:type="dxa"/>
              <w:end w:w="100" w:type="dxa"/>
            </w:tcMar>
            <w:vAlign w:val="center"/>
          </w:tcPr>
          <w:p>
            <w:r>
              <w:t>Se calcula internamente; no es campo oficial.</w:t>
            </w:r>
          </w:p>
        </w:tc>
      </w:tr>
    </w:tbl>
    <w:p>
      <w:pPr>
        <w:pStyle w:val="Heading2"/>
        <w:spacing w:before="200" w:after="80"/>
      </w:pPr>
      <w:r>
        <w:t>6.2. Regla exacta del componente “Alerta de Valor”</w:t>
      </w:r>
    </w:p>
    <w:p>
      <w:pPr>
        <w:spacing w:after="60"/>
        <w:ind w:left="288" w:hanging="259"/>
      </w:pPr>
      <w:r>
        <w:rPr>
          <w:b/>
        </w:rPr>
        <w:t xml:space="preserve">• </w:t>
      </w:r>
      <w:r>
        <w:rPr>
          <w:b/>
        </w:rPr>
        <w:t xml:space="preserve">Activación correcta: </w:t>
      </w:r>
      <w:r>
        <w:t>la tarjeta elite se activa solo cuando el objeto normalizado tiene `isValuePick === true`, derivado de `predictions.is_value`.</w:t>
      </w:r>
    </w:p>
    <w:p>
      <w:pPr>
        <w:spacing w:after="60"/>
        <w:ind w:left="288" w:hanging="259"/>
      </w:pPr>
      <w:r>
        <w:rPr>
          <w:b/>
        </w:rPr>
        <w:t xml:space="preserve">• </w:t>
      </w:r>
      <w:r>
        <w:rPr>
          <w:b/>
        </w:rPr>
        <w:t xml:space="preserve">Stake: </w:t>
      </w:r>
      <w:r>
        <w:t>el valor visible debe provenir de `predictions.stake`; si el equipo desea llamarlo “Suggested Stake”, debe aclarar que el nombre es de interfaz.</w:t>
      </w:r>
    </w:p>
    <w:p>
      <w:pPr>
        <w:spacing w:after="60"/>
        <w:ind w:left="288" w:hanging="259"/>
      </w:pPr>
      <w:r>
        <w:rPr>
          <w:b/>
        </w:rPr>
        <w:t xml:space="preserve">• </w:t>
      </w:r>
      <w:r>
        <w:rPr>
          <w:b/>
        </w:rPr>
        <w:t xml:space="preserve">Edge: </w:t>
      </w:r>
      <w:r>
        <w:t>debe mostrarse como métrica derivada y documentarse la fórmula usada.</w:t>
      </w:r>
    </w:p>
    <w:p>
      <w:pPr>
        <w:spacing w:after="60"/>
        <w:ind w:left="288" w:hanging="259"/>
      </w:pPr>
      <w:r>
        <w:rPr>
          <w:b/>
        </w:rPr>
        <w:t xml:space="preserve">• </w:t>
      </w:r>
      <w:r>
        <w:rPr>
          <w:b/>
        </w:rPr>
        <w:t xml:space="preserve">Probabilidad API: </w:t>
      </w:r>
      <w:r>
        <w:t>debe tomarse del mercado de probabilidades correspondiente, no inferirse desde `fair_odd` salvo que se documente ese cálculo como derivado.</w:t>
      </w:r>
    </w:p>
    <w:p>
      <w:pPr>
        <w:spacing w:after="60"/>
        <w:ind w:left="288" w:hanging="259"/>
      </w:pPr>
      <w:r>
        <w:rPr>
          <w:b/>
        </w:rPr>
        <w:t xml:space="preserve">• </w:t>
      </w:r>
      <w:r>
        <w:rPr>
          <w:b/>
        </w:rPr>
        <w:t xml:space="preserve">Market Odd: </w:t>
      </w:r>
      <w:r>
        <w:t>debe ser la cuota oficial del response que se esté usando para la tarjeta.</w:t>
      </w:r>
    </w:p>
    <w:p>
      <w:pPr>
        <w:spacing w:after="60"/>
        <w:ind w:left="288" w:hanging="259"/>
      </w:pPr>
      <w:r>
        <w:rPr>
          <w:b/>
        </w:rPr>
        <w:t xml:space="preserve">• </w:t>
      </w:r>
      <w:r>
        <w:rPr>
          <w:b/>
        </w:rPr>
        <w:t xml:space="preserve">Transparencia: </w:t>
      </w:r>
      <w:r>
        <w:t>si una tarjeta proviene del endpoint de value bets, la UI debe dejar claro que es una oportunidad detectada por el modelo, no una recomendación emocional o manual.</w:t>
      </w:r>
    </w:p>
    <w:p>
      <w:pPr>
        <w:pStyle w:val="Heading2"/>
        <w:spacing w:before="200" w:after="80"/>
      </w:pPr>
      <w:r>
        <w:t>6.3. Fórmula segura para “Edge (Ventaja)”</w:t>
      </w:r>
    </w:p>
    <w:p>
      <w:pPr>
        <w:spacing w:after="120"/>
      </w:pPr>
      <w:r>
        <w:t>Como `edge` no aparece como campo documentado en el response oficial, debe calcularse internamente. La opción más coherente con los campos documentados es:</w:t>
      </w:r>
    </w:p>
    <w:p>
      <w:pPr>
        <w:ind w:left="360"/>
      </w:pPr>
      <w:r>
        <w:rPr>
          <w:b/>
          <w:color w:val="008F5A"/>
          <w:sz w:val="23"/>
        </w:rPr>
        <w:t>edgePercent = ((odd / fairOdd) - 1) × 100</w:t>
      </w:r>
    </w:p>
    <w:p>
      <w:pPr>
        <w:spacing w:after="120"/>
      </w:pPr>
      <w:r>
        <w:t>Esta fórmula debe quedar registrada en el repositorio como métrica derivada. Si el equipo decide usar otra, debe declararse expresamente y no presentarse como si fuera un cálculo oficial de Sportmonks.</w:t>
      </w:r>
    </w:p>
    <w:p>
      <w:pPr>
        <w:pStyle w:val="Heading2"/>
        <w:spacing w:before="200" w:after="80"/>
      </w:pPr>
      <w:r>
        <w:t>6.4. Estructura visual del dashboard general</w:t>
      </w:r>
    </w:p>
    <w:p>
      <w:pPr>
        <w:spacing w:after="60"/>
        <w:ind w:left="288" w:hanging="259"/>
      </w:pPr>
      <w:r>
        <w:rPr>
          <w:b/>
        </w:rPr>
        <w:t xml:space="preserve">• </w:t>
      </w:r>
      <w:r>
        <w:rPr>
          <w:b/>
        </w:rPr>
        <w:t xml:space="preserve">Sección superior premium: </w:t>
      </w:r>
      <w:r>
        <w:t>solo para picks con `isValuePick === true`.</w:t>
      </w:r>
    </w:p>
    <w:p>
      <w:pPr>
        <w:spacing w:after="60"/>
        <w:ind w:left="288" w:hanging="259"/>
      </w:pPr>
      <w:r>
        <w:rPr>
          <w:b/>
        </w:rPr>
        <w:t xml:space="preserve">• </w:t>
      </w:r>
      <w:r>
        <w:rPr>
          <w:b/>
        </w:rPr>
        <w:t xml:space="preserve">Listado general inferior: </w:t>
      </w:r>
      <w:r>
        <w:t>para todos los fixtures procesados, tengan o no value bet.</w:t>
      </w:r>
    </w:p>
    <w:p>
      <w:pPr>
        <w:spacing w:after="60"/>
        <w:ind w:left="288" w:hanging="259"/>
      </w:pPr>
      <w:r>
        <w:rPr>
          <w:b/>
        </w:rPr>
        <w:t xml:space="preserve">• </w:t>
      </w:r>
      <w:r>
        <w:rPr>
          <w:b/>
        </w:rPr>
        <w:t xml:space="preserve">Jerarquía visual: </w:t>
      </w:r>
      <w:r>
        <w:t>la información de riesgo y tamaño de stake debe tener mayor peso visual que el mero nombre del partido, ya que aquí la lógica de decisión depende del riesgo y del valor esperado.</w:t>
      </w:r>
    </w:p>
    <w:p>
      <w:pPr>
        <w:spacing w:after="60"/>
        <w:ind w:left="288" w:hanging="259"/>
      </w:pPr>
      <w:r>
        <w:rPr>
          <w:b/>
        </w:rPr>
        <w:t xml:space="preserve">• </w:t>
      </w:r>
      <w:r>
        <w:rPr>
          <w:b/>
        </w:rPr>
        <w:t xml:space="preserve">Estados vacíos: </w:t>
      </w:r>
      <w:r>
        <w:t>si no existen value bets en la suscripción o en el rango pedido, la sección premium debe mostrar un vacío explícito y no un error.</w:t>
      </w:r>
    </w:p>
    <w:p>
      <w:pPr>
        <w:pStyle w:val="Heading1"/>
        <w:spacing w:before="280" w:after="80"/>
      </w:pPr>
      <w:r>
        <w:t>7. Qué NO debe hacer la implementación</w:t>
      </w:r>
    </w:p>
    <w:p>
      <w:pPr>
        <w:spacing w:after="60"/>
        <w:ind w:left="288" w:hanging="259"/>
      </w:pPr>
      <w:r>
        <w:rPr>
          <w:b/>
        </w:rPr>
        <w:t xml:space="preserve">• </w:t>
      </w:r>
      <w:r>
        <w:t>No asumir que todos los partidos tienen predicciones.</w:t>
      </w:r>
    </w:p>
    <w:p>
      <w:pPr>
        <w:spacing w:after="60"/>
        <w:ind w:left="288" w:hanging="259"/>
      </w:pPr>
      <w:r>
        <w:rPr>
          <w:b/>
        </w:rPr>
        <w:t xml:space="preserve">• </w:t>
      </w:r>
      <w:r>
        <w:t>No asumir que todos los partidos tienen value bets.</w:t>
      </w:r>
    </w:p>
    <w:p>
      <w:pPr>
        <w:spacing w:after="60"/>
        <w:ind w:left="288" w:hanging="259"/>
      </w:pPr>
      <w:r>
        <w:rPr>
          <w:b/>
        </w:rPr>
        <w:t xml:space="preserve">• </w:t>
      </w:r>
      <w:r>
        <w:t>No reutilizar nombres internos como si fueran nombres oficiales del API response.</w:t>
      </w:r>
    </w:p>
    <w:p>
      <w:pPr>
        <w:spacing w:after="60"/>
        <w:ind w:left="288" w:hanging="259"/>
      </w:pPr>
      <w:r>
        <w:rPr>
          <w:b/>
        </w:rPr>
        <w:t xml:space="preserve">• </w:t>
      </w:r>
      <w:r>
        <w:t>No llamar “Kelly” al campo `stake` si la documentación oficial no lo nombra así.</w:t>
      </w:r>
    </w:p>
    <w:p>
      <w:pPr>
        <w:spacing w:after="60"/>
        <w:ind w:left="288" w:hanging="259"/>
      </w:pPr>
      <w:r>
        <w:rPr>
          <w:b/>
        </w:rPr>
        <w:t xml:space="preserve">• </w:t>
      </w:r>
      <w:r>
        <w:t>No mezclar en un mismo bloque visual probabilidades, odds y valor sin etiquetar cada origen.</w:t>
      </w:r>
    </w:p>
    <w:p>
      <w:pPr>
        <w:spacing w:after="60"/>
        <w:ind w:left="288" w:hanging="259"/>
      </w:pPr>
      <w:r>
        <w:rPr>
          <w:b/>
        </w:rPr>
        <w:t xml:space="preserve">• </w:t>
      </w:r>
      <w:r>
        <w:t>No cargar todos los includes pesados en la home si basta con un listado resumido.</w:t>
      </w:r>
    </w:p>
    <w:p>
      <w:pPr>
        <w:spacing w:after="60"/>
        <w:ind w:left="288" w:hanging="259"/>
      </w:pPr>
      <w:r>
        <w:rPr>
          <w:b/>
        </w:rPr>
        <w:t xml:space="preserve">• </w:t>
      </w:r>
      <w:r>
        <w:t>No tratar un 429 como error genérico; debe manejarse como agotamiento de rate limit.</w:t>
      </w:r>
    </w:p>
    <w:p>
      <w:pPr>
        <w:pStyle w:val="Heading1"/>
        <w:spacing w:before="280" w:after="80"/>
      </w:pPr>
      <w:r>
        <w:t>8. Backlog exacto por archivo del repositorio</w:t>
      </w:r>
    </w:p>
    <w:tbl>
      <w:tblPr>
        <w:tblW w:type="auto" w:w="0"/>
        <w:jc w:val="center"/>
        <w:tblLayout w:type="fixed"/>
        <w:tblLook w:firstColumn="1" w:firstRow="1" w:lastColumn="0" w:lastRow="0" w:noHBand="0" w:noVBand="1" w:val="04A0"/>
        <w:tblBorders>
          <w:top w:val="single" w:sz="6" w:space="0" w:color="D9E7E1"/>
          <w:left w:val="single" w:sz="6" w:space="0" w:color="D9E7E1"/>
          <w:bottom w:val="single" w:sz="6" w:space="0" w:color="D9E7E1"/>
          <w:right w:val="single" w:sz="6" w:space="0" w:color="D9E7E1"/>
          <w:insideH w:val="single" w:sz="6" w:space="0" w:color="D9E7E1"/>
          <w:insideV w:val="single" w:sz="6" w:space="0" w:color="D9E7E1"/>
        </w:tblBorders>
      </w:tblPr>
      <w:tblGrid>
        <w:gridCol w:w="2880"/>
        <w:gridCol w:w="7200"/>
      </w:tblGrid>
      <w:tr>
        <w:trPr>
          <w:tblHeader w:val="true"/>
        </w:trPr>
        <w:tc>
          <w:tcPr>
            <w:tcW w:type="dxa" w:w="4896"/>
            <w:shd w:fill="0D6B4D"/>
            <w:tcMar>
              <w:top w:w="80" w:type="dxa"/>
              <w:start w:w="100" w:type="dxa"/>
              <w:bottom w:w="80" w:type="dxa"/>
              <w:end w:w="100" w:type="dxa"/>
            </w:tcMar>
            <w:vAlign w:val="center"/>
          </w:tcPr>
          <w:p>
            <w:r>
              <w:rPr>
                <w:b/>
                <w:color w:val="FFFFFF"/>
              </w:rPr>
              <w:t>Archivo / módulo</w:t>
            </w:r>
          </w:p>
        </w:tc>
        <w:tc>
          <w:tcPr>
            <w:tcW w:type="dxa" w:w="4896"/>
            <w:shd w:fill="0D6B4D"/>
            <w:tcMar>
              <w:top w:w="80" w:type="dxa"/>
              <w:start w:w="100" w:type="dxa"/>
              <w:bottom w:w="80" w:type="dxa"/>
              <w:end w:w="100" w:type="dxa"/>
            </w:tcMar>
            <w:vAlign w:val="center"/>
          </w:tcPr>
          <w:p>
            <w:r>
              <w:rPr>
                <w:b/>
                <w:color w:val="FFFFFF"/>
              </w:rPr>
              <w:t>Cambio obligatorio</w:t>
            </w:r>
          </w:p>
        </w:tc>
      </w:tr>
      <w:tr>
        <w:tc>
          <w:tcPr>
            <w:tcW w:type="dxa" w:w="2880"/>
            <w:tcMar>
              <w:top w:w="80" w:type="dxa"/>
              <w:start w:w="100" w:type="dxa"/>
              <w:bottom w:w="80" w:type="dxa"/>
              <w:end w:w="100" w:type="dxa"/>
            </w:tcMar>
            <w:vAlign w:val="center"/>
          </w:tcPr>
          <w:p>
            <w:r>
              <w:t>api/leagues.js</w:t>
            </w:r>
          </w:p>
        </w:tc>
        <w:tc>
          <w:tcPr>
            <w:tcW w:type="dxa" w:w="7200"/>
            <w:tcMar>
              <w:top w:w="80" w:type="dxa"/>
              <w:start w:w="100" w:type="dxa"/>
              <w:bottom w:w="80" w:type="dxa"/>
              <w:end w:w="100" w:type="dxa"/>
            </w:tcMar>
            <w:vAlign w:val="center"/>
          </w:tcPr>
          <w:p>
            <w:r>
              <w:t>Reducir el endpoint a listado base de ligas/fixtures y revisar timezone/configuración. No debe cargar más de lo necesario.</w:t>
            </w:r>
          </w:p>
        </w:tc>
      </w:tr>
      <w:tr>
        <w:tc>
          <w:tcPr>
            <w:tcW w:type="dxa" w:w="2880"/>
            <w:tcMar>
              <w:top w:w="80" w:type="dxa"/>
              <w:start w:w="100" w:type="dxa"/>
              <w:bottom w:w="80" w:type="dxa"/>
              <w:end w:w="100" w:type="dxa"/>
            </w:tcMar>
            <w:vAlign w:val="center"/>
          </w:tcPr>
          <w:p>
            <w:r>
              <w:t>api/fixtures.js</w:t>
            </w:r>
          </w:p>
        </w:tc>
        <w:tc>
          <w:tcPr>
            <w:tcW w:type="dxa" w:w="7200"/>
            <w:tcMar>
              <w:top w:w="80" w:type="dxa"/>
              <w:start w:w="100" w:type="dxa"/>
              <w:bottom w:w="80" w:type="dxa"/>
              <w:end w:w="100" w:type="dxa"/>
            </w:tcMar>
            <w:vAlign w:val="center"/>
          </w:tcPr>
          <w:p>
            <w:r>
              <w:t>Añadir `metadata` y revisar includes para que el detalle del partido pueda decidir predictabilidad sin lógica inventada.</w:t>
            </w:r>
          </w:p>
        </w:tc>
      </w:tr>
      <w:tr>
        <w:tc>
          <w:tcPr>
            <w:tcW w:type="dxa" w:w="2880"/>
            <w:tcMar>
              <w:top w:w="80" w:type="dxa"/>
              <w:start w:w="100" w:type="dxa"/>
              <w:bottom w:w="80" w:type="dxa"/>
              <w:end w:w="100" w:type="dxa"/>
            </w:tcMar>
            <w:vAlign w:val="center"/>
          </w:tcPr>
          <w:p>
            <w:r>
              <w:t>api/odds.js</w:t>
            </w:r>
          </w:p>
        </w:tc>
        <w:tc>
          <w:tcPr>
            <w:tcW w:type="dxa" w:w="7200"/>
            <w:tcMar>
              <w:top w:w="80" w:type="dxa"/>
              <w:start w:w="100" w:type="dxa"/>
              <w:bottom w:w="80" w:type="dxa"/>
              <w:end w:w="100" w:type="dxa"/>
            </w:tcMar>
            <w:vAlign w:val="center"/>
          </w:tcPr>
          <w:p>
            <w:r>
              <w:t>Mantenerlo como proveedor de cuotas, pero no mezclarlo semánticamente con probabilities o value bets.</w:t>
            </w:r>
          </w:p>
        </w:tc>
      </w:tr>
      <w:tr>
        <w:tc>
          <w:tcPr>
            <w:tcW w:type="dxa" w:w="2880"/>
            <w:tcMar>
              <w:top w:w="80" w:type="dxa"/>
              <w:start w:w="100" w:type="dxa"/>
              <w:bottom w:w="80" w:type="dxa"/>
              <w:end w:w="100" w:type="dxa"/>
            </w:tcMar>
            <w:vAlign w:val="center"/>
          </w:tcPr>
          <w:p>
            <w:r>
              <w:t>NUEVO api/predictions.js</w:t>
            </w:r>
          </w:p>
        </w:tc>
        <w:tc>
          <w:tcPr>
            <w:tcW w:type="dxa" w:w="7200"/>
            <w:tcMar>
              <w:top w:w="80" w:type="dxa"/>
              <w:start w:w="100" w:type="dxa"/>
              <w:bottom w:w="80" w:type="dxa"/>
              <w:end w:w="100" w:type="dxa"/>
            </w:tcMar>
            <w:vAlign w:val="center"/>
          </w:tcPr>
          <w:p>
            <w:r>
              <w:t>Crear endpoint dedicado para probabilities por fixture y/o por rango según necesidad de UI.</w:t>
            </w:r>
          </w:p>
        </w:tc>
      </w:tr>
      <w:tr>
        <w:tc>
          <w:tcPr>
            <w:tcW w:type="dxa" w:w="2880"/>
            <w:tcMar>
              <w:top w:w="80" w:type="dxa"/>
              <w:start w:w="100" w:type="dxa"/>
              <w:bottom w:w="80" w:type="dxa"/>
              <w:end w:w="100" w:type="dxa"/>
            </w:tcMar>
            <w:vAlign w:val="center"/>
          </w:tcPr>
          <w:p>
            <w:r>
              <w:t>NUEVO api/value-bets.js</w:t>
            </w:r>
          </w:p>
        </w:tc>
        <w:tc>
          <w:tcPr>
            <w:tcW w:type="dxa" w:w="7200"/>
            <w:tcMar>
              <w:top w:w="80" w:type="dxa"/>
              <w:start w:w="100" w:type="dxa"/>
              <w:bottom w:w="80" w:type="dxa"/>
              <w:end w:w="100" w:type="dxa"/>
            </w:tcMar>
            <w:vAlign w:val="center"/>
          </w:tcPr>
          <w:p>
            <w:r>
              <w:t>Crear endpoint dedicado para value bets generales y por fixture.</w:t>
            </w:r>
          </w:p>
        </w:tc>
      </w:tr>
      <w:tr>
        <w:tc>
          <w:tcPr>
            <w:tcW w:type="dxa" w:w="2880"/>
            <w:tcMar>
              <w:top w:w="80" w:type="dxa"/>
              <w:start w:w="100" w:type="dxa"/>
              <w:bottom w:w="80" w:type="dxa"/>
              <w:end w:w="100" w:type="dxa"/>
            </w:tcMar>
            <w:vAlign w:val="center"/>
          </w:tcPr>
          <w:p>
            <w:r>
              <w:t>src/services/sportsmonksApi.js</w:t>
            </w:r>
          </w:p>
        </w:tc>
        <w:tc>
          <w:tcPr>
            <w:tcW w:type="dxa" w:w="7200"/>
            <w:tcMar>
              <w:top w:w="80" w:type="dxa"/>
              <w:start w:w="100" w:type="dxa"/>
              <w:bottom w:w="80" w:type="dxa"/>
              <w:end w:w="100" w:type="dxa"/>
            </w:tcMar>
            <w:vAlign w:val="center"/>
          </w:tcPr>
          <w:p>
            <w:r>
              <w:t>Separar llamadas: `getFixture`, `getProbabilitiesByFixture`, `getValueBetsByFixture`, `getGlobalValueBets`, `getOddsByFixture`.</w:t>
            </w:r>
          </w:p>
        </w:tc>
      </w:tr>
      <w:tr>
        <w:tc>
          <w:tcPr>
            <w:tcW w:type="dxa" w:w="2880"/>
            <w:tcMar>
              <w:top w:w="80" w:type="dxa"/>
              <w:start w:w="100" w:type="dxa"/>
              <w:bottom w:w="80" w:type="dxa"/>
              <w:end w:w="100" w:type="dxa"/>
            </w:tcMar>
            <w:vAlign w:val="center"/>
          </w:tcPr>
          <w:p>
            <w:r>
              <w:t>src/utils/</w:t>
            </w:r>
          </w:p>
        </w:tc>
        <w:tc>
          <w:tcPr>
            <w:tcW w:type="dxa" w:w="7200"/>
            <w:tcMar>
              <w:top w:w="80" w:type="dxa"/>
              <w:start w:w="100" w:type="dxa"/>
              <w:bottom w:w="80" w:type="dxa"/>
              <w:end w:w="100" w:type="dxa"/>
            </w:tcMar>
            <w:vAlign w:val="center"/>
          </w:tcPr>
          <w:p>
            <w:r>
              <w:t>Crear normalizadores para fixtures, probabilities y value bets.</w:t>
            </w:r>
          </w:p>
        </w:tc>
      </w:tr>
      <w:tr>
        <w:tc>
          <w:tcPr>
            <w:tcW w:type="dxa" w:w="2880"/>
            <w:tcMar>
              <w:top w:w="80" w:type="dxa"/>
              <w:start w:w="100" w:type="dxa"/>
              <w:bottom w:w="80" w:type="dxa"/>
              <w:end w:w="100" w:type="dxa"/>
            </w:tcMar>
            <w:vAlign w:val="center"/>
          </w:tcPr>
          <w:p>
            <w:r>
              <w:t>src/pages/MatchDetails.jsx</w:t>
            </w:r>
          </w:p>
        </w:tc>
        <w:tc>
          <w:tcPr>
            <w:tcW w:type="dxa" w:w="7200"/>
            <w:tcMar>
              <w:top w:w="80" w:type="dxa"/>
              <w:start w:w="100" w:type="dxa"/>
              <w:bottom w:w="80" w:type="dxa"/>
              <w:end w:w="100" w:type="dxa"/>
            </w:tcMar>
            <w:vAlign w:val="center"/>
          </w:tcPr>
          <w:p>
            <w:r>
              <w:t>Eliminar mezcla implícita de datos y consumir un view-model ya normalizado.</w:t>
            </w:r>
          </w:p>
        </w:tc>
      </w:tr>
      <w:tr>
        <w:tc>
          <w:tcPr>
            <w:tcW w:type="dxa" w:w="2880"/>
            <w:tcMar>
              <w:top w:w="80" w:type="dxa"/>
              <w:start w:w="100" w:type="dxa"/>
              <w:bottom w:w="80" w:type="dxa"/>
              <w:end w:w="100" w:type="dxa"/>
            </w:tcMar>
            <w:vAlign w:val="center"/>
          </w:tcPr>
          <w:p>
            <w:r>
              <w:t>NUEVA página Dashboard/MarketOverview</w:t>
            </w:r>
          </w:p>
        </w:tc>
        <w:tc>
          <w:tcPr>
            <w:tcW w:type="dxa" w:w="7200"/>
            <w:tcMar>
              <w:top w:w="80" w:type="dxa"/>
              <w:start w:w="100" w:type="dxa"/>
              <w:bottom w:w="80" w:type="dxa"/>
              <w:end w:w="100" w:type="dxa"/>
            </w:tcMar>
            <w:vAlign w:val="center"/>
          </w:tcPr>
          <w:p>
            <w:r>
              <w:t>Implementar la vista general con premium section + general list.</w:t>
            </w:r>
          </w:p>
        </w:tc>
      </w:tr>
      <w:tr>
        <w:tc>
          <w:tcPr>
            <w:tcW w:type="dxa" w:w="2880"/>
            <w:tcMar>
              <w:top w:w="80" w:type="dxa"/>
              <w:start w:w="100" w:type="dxa"/>
              <w:bottom w:w="80" w:type="dxa"/>
              <w:end w:w="100" w:type="dxa"/>
            </w:tcMar>
            <w:vAlign w:val="center"/>
          </w:tcPr>
          <w:p>
            <w:r>
              <w:t>src/components/</w:t>
            </w:r>
          </w:p>
        </w:tc>
        <w:tc>
          <w:tcPr>
            <w:tcW w:type="dxa" w:w="7200"/>
            <w:tcMar>
              <w:top w:w="80" w:type="dxa"/>
              <w:start w:w="100" w:type="dxa"/>
              <w:bottom w:w="80" w:type="dxa"/>
              <w:end w:w="100" w:type="dxa"/>
            </w:tcMar>
            <w:vAlign w:val="center"/>
          </w:tcPr>
          <w:p>
            <w:r>
              <w:t>Crear `ValueAlertCard`, `GeneralMarketRow`, `ValueEmptyState`, `DataSourceBadge`.</w:t>
            </w:r>
          </w:p>
        </w:tc>
      </w:tr>
      <w:tr>
        <w:tc>
          <w:tcPr>
            <w:tcW w:type="dxa" w:w="2880"/>
            <w:tcMar>
              <w:top w:w="80" w:type="dxa"/>
              <w:start w:w="100" w:type="dxa"/>
              <w:bottom w:w="80" w:type="dxa"/>
              <w:end w:w="100" w:type="dxa"/>
            </w:tcMar>
            <w:vAlign w:val="center"/>
          </w:tcPr>
          <w:p>
            <w:r>
              <w:t>README / docs</w:t>
            </w:r>
          </w:p>
        </w:tc>
        <w:tc>
          <w:tcPr>
            <w:tcW w:type="dxa" w:w="7200"/>
            <w:tcMar>
              <w:top w:w="80" w:type="dxa"/>
              <w:start w:w="100" w:type="dxa"/>
              <w:bottom w:w="80" w:type="dxa"/>
              <w:end w:w="100" w:type="dxa"/>
            </w:tcMar>
            <w:vAlign w:val="center"/>
          </w:tcPr>
          <w:p>
            <w:r>
              <w:t>Añadir documentación de contrato de datos, limitaciones del plan y fórmulas derivadas.</w:t>
            </w:r>
          </w:p>
        </w:tc>
      </w:tr>
    </w:tbl>
    <w:p>
      <w:pPr>
        <w:pStyle w:val="Heading1"/>
        <w:spacing w:before="280" w:after="80"/>
      </w:pPr>
      <w:r>
        <w:t>9. Especificación funcional mínima del nuevo componente `ValueAlertCard`</w:t>
      </w:r>
    </w:p>
    <w:p>
      <w:pPr>
        <w:spacing w:after="120"/>
      </w:pPr>
      <w:r>
        <w:t>El componente solicitado puede conservar la idea visual propuesta, pero debe ajustarse al contrato oficial. La tarjeta debe mostrar únicamente campos disponibles o correctamente derivados.</w:t>
      </w:r>
    </w:p>
    <w:p>
      <w:pPr>
        <w:spacing w:after="60"/>
        <w:ind w:left="288" w:hanging="259"/>
      </w:pPr>
      <w:r>
        <w:rPr>
          <w:b/>
        </w:rPr>
        <w:t xml:space="preserve">• </w:t>
      </w:r>
      <w:r>
        <w:rPr>
          <w:b/>
        </w:rPr>
        <w:t xml:space="preserve">Badge: </w:t>
      </w:r>
      <w:r>
        <w:t>texto de UX, por ejemplo “VALUE DETECTED”.</w:t>
      </w:r>
    </w:p>
    <w:p>
      <w:pPr>
        <w:spacing w:after="60"/>
        <w:ind w:left="288" w:hanging="259"/>
      </w:pPr>
      <w:r>
        <w:rPr>
          <w:b/>
        </w:rPr>
        <w:t xml:space="preserve">• </w:t>
      </w:r>
      <w:r>
        <w:rPr>
          <w:b/>
        </w:rPr>
        <w:t xml:space="preserve">Teams: </w:t>
      </w:r>
      <w:r>
        <w:t>desde fixture + participants.</w:t>
      </w:r>
    </w:p>
    <w:p>
      <w:pPr>
        <w:spacing w:after="60"/>
        <w:ind w:left="288" w:hanging="259"/>
      </w:pPr>
      <w:r>
        <w:rPr>
          <w:b/>
        </w:rPr>
        <w:t xml:space="preserve">• </w:t>
      </w:r>
      <w:r>
        <w:rPr>
          <w:b/>
        </w:rPr>
        <w:t xml:space="preserve">Predictability: </w:t>
      </w:r>
      <w:r>
        <w:t>desde metadata.predictable o, si el response solo devuelve una bandera, adaptar la visualización a booleano/estado apto.</w:t>
      </w:r>
    </w:p>
    <w:p>
      <w:pPr>
        <w:spacing w:after="60"/>
        <w:ind w:left="288" w:hanging="259"/>
      </w:pPr>
      <w:r>
        <w:rPr>
          <w:b/>
        </w:rPr>
        <w:t xml:space="preserve">• </w:t>
      </w:r>
      <w:r>
        <w:rPr>
          <w:b/>
        </w:rPr>
        <w:t xml:space="preserve">Suggested Stake: </w:t>
      </w:r>
      <w:r>
        <w:t>desde `predictions.stake`, rotulado como nombre de interfaz.</w:t>
      </w:r>
    </w:p>
    <w:p>
      <w:pPr>
        <w:spacing w:after="60"/>
        <w:ind w:left="288" w:hanging="259"/>
      </w:pPr>
      <w:r>
        <w:rPr>
          <w:b/>
        </w:rPr>
        <w:t xml:space="preserve">• </w:t>
      </w:r>
      <w:r>
        <w:rPr>
          <w:b/>
        </w:rPr>
        <w:t xml:space="preserve">Edge (Ventaja): </w:t>
      </w:r>
      <w:r>
        <w:t>desde cálculo derivado documentado.</w:t>
      </w:r>
    </w:p>
    <w:p>
      <w:pPr>
        <w:spacing w:after="60"/>
        <w:ind w:left="288" w:hanging="259"/>
      </w:pPr>
      <w:r>
        <w:rPr>
          <w:b/>
        </w:rPr>
        <w:t xml:space="preserve">• </w:t>
      </w:r>
      <w:r>
        <w:rPr>
          <w:b/>
        </w:rPr>
        <w:t xml:space="preserve">Footer: </w:t>
      </w:r>
      <w:r>
        <w:t>`API Probability`, `Market Odd`, `Fair Odd` y `Bookmaker` cuando apliquen.</w:t>
      </w:r>
    </w:p>
    <w:p>
      <w:pPr>
        <w:spacing w:after="60"/>
        <w:ind w:left="288" w:hanging="259"/>
      </w:pPr>
      <w:r>
        <w:rPr>
          <w:b/>
        </w:rPr>
        <w:t xml:space="preserve">• </w:t>
      </w:r>
      <w:r>
        <w:rPr>
          <w:b/>
        </w:rPr>
        <w:t xml:space="preserve">Fallback: </w:t>
      </w:r>
      <w:r>
        <w:t>si falta alguna pieza, mostrar “No disponible” y no rellenar con suposiciones.</w:t>
      </w:r>
    </w:p>
    <w:p>
      <w:pPr>
        <w:pStyle w:val="Heading1"/>
        <w:spacing w:before="280" w:after="80"/>
      </w:pPr>
      <w:r>
        <w:t>10. Regla de filtrado del dashboard general</w:t>
      </w:r>
    </w:p>
    <w:p>
      <w:pPr>
        <w:spacing w:after="120"/>
      </w:pPr>
      <w:r>
        <w:t>La lógica de filtrado debe vivir después de la normalización, no directamente sobre el response bruto. La secuencia correcta es:</w:t>
      </w:r>
    </w:p>
    <w:p>
      <w:pPr>
        <w:spacing w:after="60"/>
        <w:ind w:left="288" w:hanging="259"/>
      </w:pPr>
      <w:r>
        <w:rPr>
          <w:b/>
        </w:rPr>
        <w:t xml:space="preserve">• </w:t>
      </w:r>
      <w:r>
        <w:t>1. Obtener fixtures del rango o set deseado.</w:t>
      </w:r>
    </w:p>
    <w:p>
      <w:pPr>
        <w:spacing w:after="60"/>
        <w:ind w:left="288" w:hanging="259"/>
      </w:pPr>
      <w:r>
        <w:rPr>
          <w:b/>
        </w:rPr>
        <w:t xml:space="preserve">• </w:t>
      </w:r>
      <w:r>
        <w:t>2. Obtener probabilities o value bets según la pantalla.</w:t>
      </w:r>
    </w:p>
    <w:p>
      <w:pPr>
        <w:spacing w:after="60"/>
        <w:ind w:left="288" w:hanging="259"/>
      </w:pPr>
      <w:r>
        <w:rPr>
          <w:b/>
        </w:rPr>
        <w:t xml:space="preserve">• </w:t>
      </w:r>
      <w:r>
        <w:t>3. Normalizar cada item en una estructura común.</w:t>
      </w:r>
    </w:p>
    <w:p>
      <w:pPr>
        <w:spacing w:after="60"/>
        <w:ind w:left="288" w:hanging="259"/>
      </w:pPr>
      <w:r>
        <w:rPr>
          <w:b/>
        </w:rPr>
        <w:t xml:space="preserve">• </w:t>
      </w:r>
      <w:r>
        <w:t>4. Derivar `isValuePick` desde `predictions.is_value`.</w:t>
      </w:r>
    </w:p>
    <w:p>
      <w:pPr>
        <w:spacing w:after="60"/>
        <w:ind w:left="288" w:hanging="259"/>
      </w:pPr>
      <w:r>
        <w:rPr>
          <w:b/>
        </w:rPr>
        <w:t xml:space="preserve">• </w:t>
      </w:r>
      <w:r>
        <w:t>5. Derivar `edgePercent` con la fórmula aprobada.</w:t>
      </w:r>
    </w:p>
    <w:p>
      <w:pPr>
        <w:spacing w:after="60"/>
        <w:ind w:left="288" w:hanging="259"/>
      </w:pPr>
      <w:r>
        <w:rPr>
          <w:b/>
        </w:rPr>
        <w:t xml:space="preserve">• </w:t>
      </w:r>
      <w:r>
        <w:t>6. Renderizar `elitePicks` arriba y el listado general abajo.</w:t>
      </w:r>
    </w:p>
    <w:p>
      <w:pPr>
        <w:spacing w:after="120"/>
      </w:pPr>
      <w:r>
        <w:t>De esta manera, la UI filtra por un contrato estable interno y no por estructuras variables del response original.</w:t>
      </w:r>
    </w:p>
    <w:p>
      <w:pPr>
        <w:pStyle w:val="Heading1"/>
        <w:spacing w:before="280" w:after="80"/>
      </w:pPr>
      <w:r>
        <w:t>11. Política de errores y estados vacíos</w:t>
      </w:r>
    </w:p>
    <w:tbl>
      <w:tblPr>
        <w:tblW w:type="auto" w:w="0"/>
        <w:jc w:val="center"/>
        <w:tblLayout w:type="fixed"/>
        <w:tblLook w:firstColumn="1" w:firstRow="1" w:lastColumn="0" w:lastRow="0" w:noHBand="0" w:noVBand="1" w:val="04A0"/>
        <w:tblBorders>
          <w:top w:val="single" w:sz="6" w:space="0" w:color="D9E7E1"/>
          <w:left w:val="single" w:sz="6" w:space="0" w:color="D9E7E1"/>
          <w:bottom w:val="single" w:sz="6" w:space="0" w:color="D9E7E1"/>
          <w:right w:val="single" w:sz="6" w:space="0" w:color="D9E7E1"/>
          <w:insideH w:val="single" w:sz="6" w:space="0" w:color="D9E7E1"/>
          <w:insideV w:val="single" w:sz="6" w:space="0" w:color="D9E7E1"/>
        </w:tblBorders>
      </w:tblPr>
      <w:tblGrid>
        <w:gridCol w:w="2160"/>
        <w:gridCol w:w="3168"/>
        <w:gridCol w:w="4752"/>
      </w:tblGrid>
      <w:tr>
        <w:trPr>
          <w:tblHeader w:val="true"/>
        </w:trPr>
        <w:tc>
          <w:tcPr>
            <w:tcW w:type="dxa" w:w="3264"/>
            <w:shd w:fill="0D6B4D"/>
            <w:tcMar>
              <w:top w:w="80" w:type="dxa"/>
              <w:start w:w="100" w:type="dxa"/>
              <w:bottom w:w="80" w:type="dxa"/>
              <w:end w:w="100" w:type="dxa"/>
            </w:tcMar>
            <w:vAlign w:val="center"/>
          </w:tcPr>
          <w:p>
            <w:r>
              <w:rPr>
                <w:b/>
                <w:color w:val="FFFFFF"/>
              </w:rPr>
              <w:t>Escenario</w:t>
            </w:r>
          </w:p>
        </w:tc>
        <w:tc>
          <w:tcPr>
            <w:tcW w:type="dxa" w:w="3264"/>
            <w:shd w:fill="0D6B4D"/>
            <w:tcMar>
              <w:top w:w="80" w:type="dxa"/>
              <w:start w:w="100" w:type="dxa"/>
              <w:bottom w:w="80" w:type="dxa"/>
              <w:end w:w="100" w:type="dxa"/>
            </w:tcMar>
            <w:vAlign w:val="center"/>
          </w:tcPr>
          <w:p>
            <w:r>
              <w:rPr>
                <w:b/>
                <w:color w:val="FFFFFF"/>
              </w:rPr>
              <w:t>Lectura correcta</w:t>
            </w:r>
          </w:p>
        </w:tc>
        <w:tc>
          <w:tcPr>
            <w:tcW w:type="dxa" w:w="3264"/>
            <w:shd w:fill="0D6B4D"/>
            <w:tcMar>
              <w:top w:w="80" w:type="dxa"/>
              <w:start w:w="100" w:type="dxa"/>
              <w:bottom w:w="80" w:type="dxa"/>
              <w:end w:w="100" w:type="dxa"/>
            </w:tcMar>
            <w:vAlign w:val="center"/>
          </w:tcPr>
          <w:p>
            <w:r>
              <w:rPr>
                <w:b/>
                <w:color w:val="FFFFFF"/>
              </w:rPr>
              <w:t>Comportamiento de UI</w:t>
            </w:r>
          </w:p>
        </w:tc>
      </w:tr>
      <w:tr>
        <w:tc>
          <w:tcPr>
            <w:tcW w:type="dxa" w:w="2160"/>
            <w:tcMar>
              <w:top w:w="80" w:type="dxa"/>
              <w:start w:w="100" w:type="dxa"/>
              <w:bottom w:w="80" w:type="dxa"/>
              <w:end w:w="100" w:type="dxa"/>
            </w:tcMar>
            <w:vAlign w:val="center"/>
          </w:tcPr>
          <w:p>
            <w:r>
              <w:t>Sin predictions add-on</w:t>
            </w:r>
          </w:p>
        </w:tc>
        <w:tc>
          <w:tcPr>
            <w:tcW w:type="dxa" w:w="3168"/>
            <w:tcMar>
              <w:top w:w="80" w:type="dxa"/>
              <w:start w:w="100" w:type="dxa"/>
              <w:bottom w:w="80" w:type="dxa"/>
              <w:end w:w="100" w:type="dxa"/>
            </w:tcMar>
            <w:vAlign w:val="center"/>
          </w:tcPr>
          <w:p>
            <w:r>
              <w:t>Mensaje explícito de falta de cobertura funcional.</w:t>
            </w:r>
          </w:p>
        </w:tc>
        <w:tc>
          <w:tcPr>
            <w:tcW w:type="dxa" w:w="4752"/>
            <w:tcMar>
              <w:top w:w="80" w:type="dxa"/>
              <w:start w:w="100" w:type="dxa"/>
              <w:bottom w:w="80" w:type="dxa"/>
              <w:end w:w="100" w:type="dxa"/>
            </w:tcMar>
            <w:vAlign w:val="center"/>
          </w:tcPr>
          <w:p>
            <w:r>
              <w:t>No renderizar tarjetas de probabilidades ni value bets.</w:t>
            </w:r>
          </w:p>
        </w:tc>
      </w:tr>
      <w:tr>
        <w:tc>
          <w:tcPr>
            <w:tcW w:type="dxa" w:w="2160"/>
            <w:tcMar>
              <w:top w:w="80" w:type="dxa"/>
              <w:start w:w="100" w:type="dxa"/>
              <w:bottom w:w="80" w:type="dxa"/>
              <w:end w:w="100" w:type="dxa"/>
            </w:tcMar>
            <w:vAlign w:val="center"/>
          </w:tcPr>
          <w:p>
            <w:r>
              <w:t>Fixture no predictable</w:t>
            </w:r>
          </w:p>
        </w:tc>
        <w:tc>
          <w:tcPr>
            <w:tcW w:type="dxa" w:w="3168"/>
            <w:tcMar>
              <w:top w:w="80" w:type="dxa"/>
              <w:start w:w="100" w:type="dxa"/>
              <w:bottom w:w="80" w:type="dxa"/>
              <w:end w:w="100" w:type="dxa"/>
            </w:tcMar>
            <w:vAlign w:val="center"/>
          </w:tcPr>
          <w:p>
            <w:r>
              <w:t>Estado informativo, no error.</w:t>
            </w:r>
          </w:p>
        </w:tc>
        <w:tc>
          <w:tcPr>
            <w:tcW w:type="dxa" w:w="4752"/>
            <w:tcMar>
              <w:top w:w="80" w:type="dxa"/>
              <w:start w:w="100" w:type="dxa"/>
              <w:bottom w:w="80" w:type="dxa"/>
              <w:end w:w="100" w:type="dxa"/>
            </w:tcMar>
            <w:vAlign w:val="center"/>
          </w:tcPr>
          <w:p>
            <w:r>
              <w:t>Ocultar la lógica premium y mostrar explicación.</w:t>
            </w:r>
          </w:p>
        </w:tc>
      </w:tr>
      <w:tr>
        <w:tc>
          <w:tcPr>
            <w:tcW w:type="dxa" w:w="2160"/>
            <w:tcMar>
              <w:top w:w="80" w:type="dxa"/>
              <w:start w:w="100" w:type="dxa"/>
              <w:bottom w:w="80" w:type="dxa"/>
              <w:end w:w="100" w:type="dxa"/>
            </w:tcMar>
            <w:vAlign w:val="center"/>
          </w:tcPr>
          <w:p>
            <w:r>
              <w:t>Sin value bet para el fixture</w:t>
            </w:r>
          </w:p>
        </w:tc>
        <w:tc>
          <w:tcPr>
            <w:tcW w:type="dxa" w:w="3168"/>
            <w:tcMar>
              <w:top w:w="80" w:type="dxa"/>
              <w:start w:w="100" w:type="dxa"/>
              <w:bottom w:w="80" w:type="dxa"/>
              <w:end w:w="100" w:type="dxa"/>
            </w:tcMar>
            <w:vAlign w:val="center"/>
          </w:tcPr>
          <w:p>
            <w:r>
              <w:t>Estado vacío controlado.</w:t>
            </w:r>
          </w:p>
        </w:tc>
        <w:tc>
          <w:tcPr>
            <w:tcW w:type="dxa" w:w="4752"/>
            <w:tcMar>
              <w:top w:w="80" w:type="dxa"/>
              <w:start w:w="100" w:type="dxa"/>
              <w:bottom w:w="80" w:type="dxa"/>
              <w:end w:w="100" w:type="dxa"/>
            </w:tcMar>
            <w:vAlign w:val="center"/>
          </w:tcPr>
          <w:p>
            <w:r>
              <w:t>Mostrar lista general sin tarjeta elite.</w:t>
            </w:r>
          </w:p>
        </w:tc>
      </w:tr>
      <w:tr>
        <w:tc>
          <w:tcPr>
            <w:tcW w:type="dxa" w:w="2160"/>
            <w:tcMar>
              <w:top w:w="80" w:type="dxa"/>
              <w:start w:w="100" w:type="dxa"/>
              <w:bottom w:w="80" w:type="dxa"/>
              <w:end w:w="100" w:type="dxa"/>
            </w:tcMar>
            <w:vAlign w:val="center"/>
          </w:tcPr>
          <w:p>
            <w:r>
              <w:t>429 rate limit</w:t>
            </w:r>
          </w:p>
        </w:tc>
        <w:tc>
          <w:tcPr>
            <w:tcW w:type="dxa" w:w="3168"/>
            <w:tcMar>
              <w:top w:w="80" w:type="dxa"/>
              <w:start w:w="100" w:type="dxa"/>
              <w:bottom w:w="80" w:type="dxa"/>
              <w:end w:w="100" w:type="dxa"/>
            </w:tcMar>
            <w:vAlign w:val="center"/>
          </w:tcPr>
          <w:p>
            <w:r>
              <w:t>Error técnico recuperable.</w:t>
            </w:r>
          </w:p>
        </w:tc>
        <w:tc>
          <w:tcPr>
            <w:tcW w:type="dxa" w:w="4752"/>
            <w:tcMar>
              <w:top w:w="80" w:type="dxa"/>
              <w:start w:w="100" w:type="dxa"/>
              <w:bottom w:w="80" w:type="dxa"/>
              <w:end w:w="100" w:type="dxa"/>
            </w:tcMar>
            <w:vAlign w:val="center"/>
          </w:tcPr>
          <w:p>
            <w:r>
              <w:t>Backoff + aviso de consumo + reintento controlado.</w:t>
            </w:r>
          </w:p>
        </w:tc>
      </w:tr>
      <w:tr>
        <w:tc>
          <w:tcPr>
            <w:tcW w:type="dxa" w:w="2160"/>
            <w:tcMar>
              <w:top w:w="80" w:type="dxa"/>
              <w:start w:w="100" w:type="dxa"/>
              <w:bottom w:w="80" w:type="dxa"/>
              <w:end w:w="100" w:type="dxa"/>
            </w:tcMar>
            <w:vAlign w:val="center"/>
          </w:tcPr>
          <w:p>
            <w:r>
              <w:t>Odd faltante o bookmaker sin mercado</w:t>
            </w:r>
          </w:p>
        </w:tc>
        <w:tc>
          <w:tcPr>
            <w:tcW w:type="dxa" w:w="3168"/>
            <w:tcMar>
              <w:top w:w="80" w:type="dxa"/>
              <w:start w:w="100" w:type="dxa"/>
              <w:bottom w:w="80" w:type="dxa"/>
              <w:end w:w="100" w:type="dxa"/>
            </w:tcMar>
            <w:vAlign w:val="center"/>
          </w:tcPr>
          <w:p>
            <w:r>
              <w:t>Dato incompleto.</w:t>
            </w:r>
          </w:p>
        </w:tc>
        <w:tc>
          <w:tcPr>
            <w:tcW w:type="dxa" w:w="4752"/>
            <w:tcMar>
              <w:top w:w="80" w:type="dxa"/>
              <w:start w:w="100" w:type="dxa"/>
              <w:bottom w:w="80" w:type="dxa"/>
              <w:end w:w="100" w:type="dxa"/>
            </w:tcMar>
            <w:vAlign w:val="center"/>
          </w:tcPr>
          <w:p>
            <w:r>
              <w:t>No calcular edge con valores nulos.</w:t>
            </w:r>
          </w:p>
        </w:tc>
      </w:tr>
    </w:tbl>
    <w:p>
      <w:pPr>
        <w:pStyle w:val="Heading1"/>
        <w:spacing w:before="280" w:after="80"/>
      </w:pPr>
      <w:r>
        <w:t>12. Conclusión ejecutiva final</w:t>
      </w:r>
    </w:p>
    <w:p>
      <w:pPr>
        <w:spacing w:after="120"/>
      </w:pPr>
      <w:r>
        <w:t>Para que el repositorio quede alineado con Sportmonks, la implementación debe dejar de pensar en una sola pantalla “bonita” y pasar a pensar en un sistema de datos verificable. El punto crítico no es agregar más mercados, sino construir un contrato sólido entre la API oficial, la capa de normalización y la interfaz.</w:t>
      </w:r>
    </w:p>
    <w:p>
      <w:pPr>
        <w:spacing w:after="60"/>
        <w:ind w:left="288" w:hanging="259"/>
      </w:pPr>
      <w:r>
        <w:rPr>
          <w:b/>
        </w:rPr>
        <w:t xml:space="preserve">• </w:t>
      </w:r>
      <w:r>
        <w:rPr>
          <w:b/>
        </w:rPr>
        <w:t xml:space="preserve">Lo imprescindible: </w:t>
      </w:r>
      <w:r>
        <w:t>endpoints separados para probabilities y value bets, `metadata.predictable`, normalización obligatoria y documentación de métricas derivadas.</w:t>
      </w:r>
    </w:p>
    <w:p>
      <w:pPr>
        <w:spacing w:after="60"/>
        <w:ind w:left="288" w:hanging="259"/>
      </w:pPr>
      <w:r>
        <w:rPr>
          <w:b/>
        </w:rPr>
        <w:t xml:space="preserve">• </w:t>
      </w:r>
      <w:r>
        <w:rPr>
          <w:b/>
        </w:rPr>
        <w:t xml:space="preserve">Lo más importante para no cometer errores: </w:t>
      </w:r>
      <w:r>
        <w:t>usar solo nombres oficiales en la capa de integración y reservar nombres como `isValuePick`, `suggestedStake` y `edgePercent` para la capa de presentación.</w:t>
      </w:r>
    </w:p>
    <w:p>
      <w:pPr>
        <w:spacing w:after="60"/>
        <w:ind w:left="288" w:hanging="259"/>
      </w:pPr>
      <w:r>
        <w:rPr>
          <w:b/>
        </w:rPr>
        <w:t xml:space="preserve">• </w:t>
      </w:r>
      <w:r>
        <w:rPr>
          <w:b/>
        </w:rPr>
        <w:t xml:space="preserve">Lo más valioso del nuevo sistema: </w:t>
      </w:r>
      <w:r>
        <w:t>el dashboard premium permitirá distinguir rápidamente oportunidades reales detectadas por el modelo, sin contaminar el listado general ni inducir interpretaciones equivocadas.</w:t>
      </w:r>
    </w:p>
    <w:p>
      <w:pPr>
        <w:pStyle w:val="Heading1"/>
        <w:spacing w:before="280" w:after="80"/>
      </w:pPr>
      <w:r>
        <w:t>Anexo A. Fuentes oficiales verificadas</w:t>
      </w:r>
    </w:p>
    <w:p>
      <w:pPr>
        <w:pStyle w:val="Small"/>
        <w:spacing w:after="120"/>
      </w:pPr>
      <w:r>
        <w:t>[S1] Sportmonks Football API pricing: Starter (5 ligas, 2.000 API calls por entidad por hora).</w:t>
      </w:r>
    </w:p>
    <w:p>
      <w:pPr>
        <w:pStyle w:val="Small"/>
        <w:spacing w:after="120"/>
      </w:pPr>
      <w:r>
        <w:t>[S2] Sportmonks Football API pricing: bundle Odds &amp; Predictions.</w:t>
      </w:r>
    </w:p>
    <w:p>
      <w:pPr>
        <w:pStyle w:val="Small"/>
        <w:spacing w:after="120"/>
      </w:pPr>
      <w:r>
        <w:t>[S3] Documentation: Predictions endpoint overview (probabilities, value bets, 21 días, fixtures predictables).</w:t>
      </w:r>
    </w:p>
    <w:p>
      <w:pPr>
        <w:pStyle w:val="Small"/>
        <w:spacing w:after="120"/>
      </w:pPr>
      <w:r>
        <w:t>[S4] Documentation: Probabilities tutorial (include `predictions`, endpoint base `/v3/football/predictions`, `metadata.predictable`).</w:t>
      </w:r>
    </w:p>
    <w:p>
      <w:pPr>
        <w:pStyle w:val="Small"/>
        <w:spacing w:after="120"/>
      </w:pPr>
      <w:r>
        <w:t>[S5] Documentation: Value Bet tutorial (campos `bet`, `bookmaker`, `odd`, `is_value`, `stake`, `fair_odd`).</w:t>
      </w:r>
    </w:p>
    <w:p>
      <w:pPr>
        <w:pStyle w:val="Small"/>
        <w:spacing w:after="120"/>
      </w:pPr>
      <w:r>
        <w:t>[S6] Documentation: Rate limit API 3.0 (por entidad, 429, optimización con includes/caché).</w:t>
      </w:r>
    </w:p>
    <w:p>
      <w:pPr>
        <w:pStyle w:val="Small"/>
        <w:spacing w:after="120"/>
      </w:pPr>
      <w:r>
        <w:t>[S7] Documentation: Includes (uso de `include=` para enriquecer responses y reducir llamadas).</w:t>
      </w:r>
    </w:p>
    <w:p>
      <w:pPr>
        <w:pStyle w:val="Heading1"/>
        <w:spacing w:before="280" w:after="80"/>
      </w:pPr>
      <w:r>
        <w:t>Anexo B. Archivos del repositorio revisados</w:t>
      </w:r>
    </w:p>
    <w:p>
      <w:pPr>
        <w:pStyle w:val="Small"/>
        <w:spacing w:after="120"/>
      </w:pPr>
      <w:r>
        <w:t>• README.md</w:t>
      </w:r>
    </w:p>
    <w:p>
      <w:pPr>
        <w:pStyle w:val="Small"/>
        <w:spacing w:after="120"/>
      </w:pPr>
      <w:r>
        <w:t>• package.json</w:t>
      </w:r>
    </w:p>
    <w:p>
      <w:pPr>
        <w:pStyle w:val="Small"/>
        <w:spacing w:after="120"/>
      </w:pPr>
      <w:r>
        <w:t>• api/leagues.js</w:t>
      </w:r>
    </w:p>
    <w:p>
      <w:pPr>
        <w:pStyle w:val="Small"/>
        <w:spacing w:after="120"/>
      </w:pPr>
      <w:r>
        <w:t>• api/fixtures.js</w:t>
      </w:r>
    </w:p>
    <w:p>
      <w:pPr>
        <w:pStyle w:val="Small"/>
        <w:spacing w:after="120"/>
      </w:pPr>
      <w:r>
        <w:t>• api/odds.js</w:t>
      </w:r>
    </w:p>
    <w:p>
      <w:pPr>
        <w:pStyle w:val="Small"/>
        <w:spacing w:after="120"/>
      </w:pPr>
      <w:r>
        <w:t>• src/services/sportsmonksApi.js</w:t>
      </w:r>
    </w:p>
    <w:p>
      <w:pPr>
        <w:pStyle w:val="Small"/>
        <w:spacing w:after="120"/>
      </w:pPr>
      <w:r>
        <w:t>• src/pages/LandingPage.jsx</w:t>
      </w:r>
    </w:p>
    <w:p>
      <w:pPr>
        <w:pStyle w:val="Small"/>
        <w:spacing w:after="120"/>
      </w:pPr>
      <w:r>
        <w:t>• src/pages/MatchDetails.jsx</w:t>
      </w:r>
    </w:p>
    <w:p>
      <w:pPr>
        <w:pStyle w:val="Small"/>
        <w:spacing w:after="120"/>
      </w:pPr>
      <w:r>
        <w:t>• src/pages/FixtureDetailPage.jsx</w:t>
      </w:r>
    </w:p>
    <w:p>
      <w:pPr>
        <w:pStyle w:val="Small"/>
        <w:spacing w:after="120"/>
      </w:pPr>
      <w:r>
        <w:t>• src/components/LeagueCard.jsx</w:t>
      </w:r>
    </w:p>
    <w:p>
      <w:pPr>
        <w:pStyle w:val="Small"/>
        <w:spacing w:after="120"/>
      </w:pPr>
      <w:r>
        <w:t>• src/components/PredictionDisplay.jsx</w:t>
      </w:r>
    </w:p>
    <w:p>
      <w:pPr>
        <w:pStyle w:val="Small"/>
        <w:spacing w:after="120"/>
      </w:pPr>
      <w:r>
        <w:t>• src/utils/oddsCalculator.js</w:t>
      </w:r>
    </w:p>
    <w:sectPr w:rsidR="00FC693F" w:rsidRPr="0006063C" w:rsidSect="00034616">
      <w:footerReference w:type="default" r:id="rId9"/>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8F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25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8F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636E7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color w:val="636E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