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Results of the multiple matrix regression with randomization (MMRR) analysis showing regression coefficients for each predictor, t statistics and associated p-values, together with overall model statistics (F statistic, F p-value and R²). Significance codes: *** p &lt; 0.001, ** p &lt; 0.01, * p &lt; 0.05, ns p &gt; 0.05.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016"/>
        <w:gridCol w:w="1296"/>
        <w:gridCol w:w="1296"/>
        <w:gridCol w:w="1728"/>
        <w:gridCol w:w="1296"/>
        <w:gridCol w:w="1440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FpVal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Phenotypic Dist.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0.996 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2026-03-13T13:41:00Z</dcterms:modified>
  <cp:category/>
</cp:coreProperties>
</file>