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Results of the multiple matrix regression with randomization (MMRR) analysis showing regression coefficients for each predictor, t statistics and associated p-values, together with overall model statistics (F statistic, F p-value and R²). Significance codes: *** p &lt; 0.001, ** p &lt; 0.01, * p &lt; 0.05, ns p &gt; 0.05.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4"/>
        <w:gridCol w:w="2016"/>
        <w:gridCol w:w="1296"/>
        <w:gridCol w:w="1296"/>
        <w:gridCol w:w="1728"/>
        <w:gridCol w:w="1296"/>
        <w:gridCol w:w="1440"/>
        <w:gridCol w:w="1152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Coeff.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tStat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tPvalue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Fstat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FpVal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R²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Phenotypic Dist.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0.404 ns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Genetic Dist.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Epigenetic Dist.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-7.866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model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0.089 ns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2026-03-13T13:51:34Z</dcterms:modified>
  <cp:category/>
</cp:coreProperties>
</file>