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Results of the multiple matrix regression with randomization (MMRR) analysis showing regression coefficients for each predictor, t statistics and associated p-values, together with overall model statistics (F statistic, F p-value and R²). Significance codes: *** p &lt; 0.001, ** p &lt; 0.01, * p &lt; 0.05, ns p &gt; 0.05.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1296"/>
        <w:gridCol w:w="1296"/>
        <w:gridCol w:w="1728"/>
        <w:gridCol w:w="1296"/>
        <w:gridCol w:w="1440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FpVal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Phenotypic Dist.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 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Epigenetic Dist.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Genetic Dist.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2026-03-13T17:26:16Z</dcterms:modified>
  <cp:category/>
</cp:coreProperties>
</file>