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Results of the multiple matrix regression with randomization (MMRR) analysis showing regression coefficients for each predictor, t statistics and associated p-values, together with overall model statistics (F statistic, F p-value and R²). Significance codes: *** p &lt; 0.001, ** p &lt; 0.01, * p &lt; 0.05, ns p &gt; 0.05.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016"/>
        <w:gridCol w:w="1296"/>
        <w:gridCol w:w="1296"/>
        <w:gridCol w:w="1728"/>
        <w:gridCol w:w="1296"/>
        <w:gridCol w:w="1440"/>
        <w:gridCol w:w="1152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FpVal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R²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PhenoDist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0.323 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0.832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EpiDist-CG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0.367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EpiDist-CHG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0.975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0.454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EpiDist-CHH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0.943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2026-03-10T11:37:20Z</dcterms:modified>
  <cp:category/>
</cp:coreProperties>
</file>