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Results of the distance-based redundancy analysis (dbRDA) showing the percentage of epigenetic variance (EpiDist) explained by maternal environment (Maternal), real-time herbivory simulation (Simulation), and/or their interaction (M*S) across different genomic contexts. The models include analyses with and without adjusting for genetic variability (GenVar). GenVar: first principal component from genetic data explaining 23.57% of the variance in scaled allele frequencies. Significance codes: *** p &lt; 0.001, ** p &lt; 0.01, * p &lt; 0.05.The results of the ANOVA performed to test for the significance of each predictor in the model with the interaction term (ANOVA by terms) are also shown.</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3168"/>
        <w:gridCol w:w="720"/>
        <w:gridCol w:w="1152"/>
        <w:gridCol w:w="1152"/>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0.011</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0.033</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0.009</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0.097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0.323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0.048</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152"/>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0.011</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0.029</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0.017</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0.031</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Results of distance-based redundancy analysis (dbRDA) showing the percentage of variance in phenotypic and genetic distance explained by maternal environment (Maternal) and real-time herbivory simulation (Simulation). The results of the ANOVA performed to test for the significance of each predictor in the model with the interaction term (ANOVA by terms) are also shown. Significance codes: *** p &lt; 0.001, ** p &lt; 0.01, * p &lt; 0.05.</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1152"/>
        <w:gridCol w:w="1152"/>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EpiVar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 + Condition(EpiVar)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 + Condition(GenVar) + Condition(EpiVar)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GenDist ~ Maternal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0.014</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0.026</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2026-09-23T14:36:10Z</dcterms:modified>
  <cp:category/>
</cp:coreProperties>
</file>